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Academic Evaluation of Faculty Performance</w:t>
      </w:r>
    </w:p>
    <w:p>
      <w:pPr>
        <w:pStyle w:val="BodyText"/>
      </w:pPr>
      <w:r>
        <w:rPr>
          <w:bCs/>
          <w:b/>
        </w:rPr>
        <w:t xml:space="preserve">Location:</w:t>
      </w:r>
      <w:r>
        <w:t xml:space="preserve"> </w:t>
      </w:r>
      <w:r>
        <w:t xml:space="preserve">Jeddah, Saudi Arabia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p>
      <w:pPr>
        <w:pStyle w:val="BodyText"/>
      </w:pPr>
      <w:r>
        <w:rPr>
          <w:bCs/>
          <w:b/>
        </w:rPr>
        <w:t xml:space="preserve">Department:</w:t>
      </w:r>
      <w:r>
        <w:t xml:space="preserve"> </w:t>
      </w:r>
      <w:r>
        <w:t xml:space="preserve">Faculty of Engineering &amp; Applied Sciences</w:t>
      </w:r>
    </w:p>
    <w:p>
      <w:pPr>
        <w:pStyle w:val="BodyText"/>
      </w:pPr>
      <w:r>
        <w:rPr>
          <w:bCs/>
          <w:b/>
        </w:rPr>
        <w:t xml:space="preserve">Institution:</w:t>
      </w:r>
      <w:r>
        <w:t xml:space="preserve"> </w:t>
      </w:r>
      <w:r>
        <w:t xml:space="preserve">[University Name], Jeddah Campus</w:t>
      </w:r>
    </w:p>
    <w:p>
      <w:pPr>
        <w:pStyle w:val="BodyText"/>
      </w:pPr>
      <w:r>
        <w:rPr>
          <w:bCs/>
          <w:b/>
        </w:rPr>
        <w:t xml:space="preserve">Subject:</w:t>
      </w:r>
      <w:r>
        <w:t xml:space="preserve"> </w:t>
      </w:r>
      <w:r>
        <w:t xml:space="preserve">Professor [Name Redacted]</w:t>
      </w:r>
    </w:p>
    <w:p>
      <w:pPr>
        <w:pStyle w:val="BodyText"/>
      </w:pPr>
      <w:r>
        <w:rPr>
          <w:bCs/>
          <w:b/>
        </w:rPr>
        <w:t xml:space="preserve">Reviewer:</w:t>
      </w:r>
      <w:r>
        <w:t xml:space="preserve"> </w:t>
      </w:r>
      <w:r>
        <w:t xml:space="preserve">Dr. [Reviewer Name], Senior Faculty Member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academic contributions, and pedagogical effectiveness of the</w:t>
      </w:r>
      <w:r>
        <w:t xml:space="preserve"> </w:t>
      </w:r>
      <w:r>
        <w:rPr>
          <w:bCs/>
          <w:b/>
        </w:rPr>
        <w:t xml:space="preserve">Professor</w:t>
      </w:r>
      <w:r>
        <w:t xml:space="preserve"> </w:t>
      </w:r>
      <w:r>
        <w:t xml:space="preserve">under review. The assessment is conducted in strict adherence to the academic standards and regulatory frameworks established by the Ministry of Education in</w:t>
      </w:r>
      <w:r>
        <w:t xml:space="preserve"> </w:t>
      </w:r>
      <w:r>
        <w:rPr>
          <w:bCs/>
          <w:b/>
        </w:rPr>
        <w:t xml:space="preserve">Saudi Arabia</w:t>
      </w:r>
      <w:r>
        <w:t xml:space="preserve">. Specifically, this report reflects the high expectations of higher education institutions in</w:t>
      </w:r>
      <w:r>
        <w:t xml:space="preserve"> </w:t>
      </w:r>
      <w:r>
        <w:rPr>
          <w:bCs/>
          <w:b/>
        </w:rPr>
        <w:t xml:space="preserve">Jeddah</w:t>
      </w:r>
      <w:r>
        <w:t xml:space="preserve">, a city that stands as a pivotal hub for innovation, commerce, and academic excellence within the Kingdom.</w:t>
      </w:r>
    </w:p>
    <w:p>
      <w:pPr>
        <w:pStyle w:val="BodyText"/>
      </w:pPr>
      <w:r>
        <w:t xml:space="preserve">The review process involved a detailed analysis of course materials, classroom observation, research output, and student feedback. The overarching goal is to ensure that the</w:t>
      </w:r>
      <w:r>
        <w:t xml:space="preserve"> </w:t>
      </w:r>
      <w:r>
        <w:rPr>
          <w:bCs/>
          <w:b/>
        </w:rPr>
        <w:t xml:space="preserve">Professor</w:t>
      </w:r>
      <w:r>
        <w:t xml:space="preserve"> </w:t>
      </w:r>
      <w:r>
        <w:t xml:space="preserve">is not only meeting the baseline requirements of their tenure but is also actively contributing to the university's strategic vision and the broader goals of Saudi Vision 2030. The findings presented herein are intended to support professional development, accreditation processes, and the continuous improvement of educational quality in this region.</w:t>
      </w:r>
    </w:p>
    <w:bookmarkEnd w:id="21"/>
    <w:bookmarkStart w:id="22" w:name="teaching-effectiveness-and-pedagogy"/>
    <w:p>
      <w:pPr>
        <w:pStyle w:val="Heading2"/>
      </w:pPr>
      <w:r>
        <w:t xml:space="preserve">2. Teaching Effectiveness and Pedagogy</w:t>
      </w:r>
    </w:p>
    <w:p>
      <w:pPr>
        <w:pStyle w:val="FirstParagraph"/>
      </w:pPr>
      <w:r>
        <w:t xml:space="preserve">The primary responsibility of any</w:t>
      </w:r>
      <w:r>
        <w:t xml:space="preserve"> </w:t>
      </w:r>
      <w:r>
        <w:rPr>
          <w:bCs/>
          <w:b/>
        </w:rPr>
        <w:t xml:space="preserve">Professor</w:t>
      </w:r>
      <w:r>
        <w:t xml:space="preserve"> </w:t>
      </w:r>
      <w:r>
        <w:t xml:space="preserve">is the dissemination of knowledge. In the context of</w:t>
      </w:r>
      <w:r>
        <w:t xml:space="preserve"> </w:t>
      </w:r>
      <w:r>
        <w:rPr>
          <w:bCs/>
          <w:b/>
        </w:rPr>
        <w:t xml:space="preserve">Jeddah</w:t>
      </w:r>
      <w:r>
        <w:t xml:space="preserve">, where student demographics are increasingly diverse and expectations for modern, interactive learning are high, the</w:t>
      </w:r>
      <w:r>
        <w:t xml:space="preserve"> </w:t>
      </w:r>
      <w:r>
        <w:rPr>
          <w:bCs/>
          <w:b/>
        </w:rPr>
        <w:t xml:space="preserve">Professor</w:t>
      </w:r>
      <w:r>
        <w:t xml:space="preserve"> </w:t>
      </w:r>
      <w:r>
        <w:t xml:space="preserve">has demonstrated a commendable ability to adapt.</w:t>
      </w:r>
    </w:p>
    <w:p>
      <w:pPr>
        <w:pStyle w:val="BodyText"/>
      </w:pPr>
      <w:r>
        <w:t xml:space="preserve">Classroom observations revealed that the</w:t>
      </w:r>
      <w:r>
        <w:t xml:space="preserve"> </w:t>
      </w:r>
      <w:r>
        <w:rPr>
          <w:bCs/>
          <w:b/>
        </w:rPr>
        <w:t xml:space="preserve">Professor</w:t>
      </w:r>
      <w:r>
        <w:t xml:space="preserve"> </w:t>
      </w:r>
      <w:r>
        <w:t xml:space="preserve">utilizes a student-centered approach, moving beyond traditional lecturing to incorporate active learning strategies. The integration of technology in the classroom aligns well with the digital transformation initiatives currently being championed across universities in</w:t>
      </w:r>
      <w:r>
        <w:t xml:space="preserve"> </w:t>
      </w:r>
      <w:r>
        <w:rPr>
          <w:bCs/>
          <w:b/>
        </w:rPr>
        <w:t xml:space="preserve">Saudi Arabia</w:t>
      </w:r>
      <w:r>
        <w:t xml:space="preserve">. The</w:t>
      </w:r>
      <w:r>
        <w:t xml:space="preserve"> </w:t>
      </w:r>
      <w:r>
        <w:rPr>
          <w:bCs/>
          <w:b/>
        </w:rPr>
        <w:t xml:space="preserve">Professor</w:t>
      </w:r>
      <w:r>
        <w:t xml:space="preserve"> </w:t>
      </w:r>
      <w:r>
        <w:t xml:space="preserve">effectively uses Learning Management Systems (LMS) to distribute resources, facilitate discussions, and provide timely feedback, ensuring that students remain engaged both inside and outside the lecture hall.</w:t>
      </w:r>
    </w:p>
    <w:p>
      <w:pPr>
        <w:pStyle w:val="BodyText"/>
      </w:pPr>
      <w:r>
        <w:t xml:space="preserve">Furthermore, the</w:t>
      </w:r>
      <w:r>
        <w:t xml:space="preserve"> </w:t>
      </w:r>
      <w:r>
        <w:rPr>
          <w:bCs/>
          <w:b/>
        </w:rPr>
        <w:t xml:space="preserve">Professor</w:t>
      </w:r>
      <w:r>
        <w:t xml:space="preserve"> </w:t>
      </w:r>
      <w:r>
        <w:t xml:space="preserve">has shown a strong commitment to inclusivity. Recognizing the multicultural environment of</w:t>
      </w:r>
      <w:r>
        <w:t xml:space="preserve"> </w:t>
      </w:r>
      <w:r>
        <w:rPr>
          <w:bCs/>
          <w:b/>
        </w:rPr>
        <w:t xml:space="preserve">Jeddah</w:t>
      </w:r>
      <w:r>
        <w:t xml:space="preserve">, the teaching materials are culturally sensitive and accessible. The assessment methods employed are varied and fair, providing students with multiple avenues to demonstrate their understanding of the subject matter. This approach is crucial for maintaining high academic standards while supporting the diverse learning needs of the student body.</w:t>
      </w:r>
    </w:p>
    <w:bookmarkEnd w:id="22"/>
    <w:bookmarkStart w:id="23" w:name="research-and-scholarly-activity"/>
    <w:p>
      <w:pPr>
        <w:pStyle w:val="Heading2"/>
      </w:pPr>
      <w:r>
        <w:t xml:space="preserve">3. Research and Scholarly Activity</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Professor</w:t>
      </w:r>
      <w:r>
        <w:t xml:space="preserve">'s research output. In the competitive academic landscape of</w:t>
      </w:r>
      <w:r>
        <w:t xml:space="preserve"> </w:t>
      </w:r>
      <w:r>
        <w:rPr>
          <w:bCs/>
          <w:b/>
        </w:rPr>
        <w:t xml:space="preserve">Saudi Arabia</w:t>
      </w:r>
      <w:r>
        <w:t xml:space="preserve">, research is not merely an individual pursuit but a collective effort to solve national and regional challenges.</w:t>
      </w:r>
    </w:p>
    <w:p>
      <w:pPr>
        <w:pStyle w:val="BodyText"/>
      </w:pPr>
      <w:r>
        <w:t xml:space="preserve">The</w:t>
      </w:r>
      <w:r>
        <w:t xml:space="preserve"> </w:t>
      </w:r>
      <w:r>
        <w:rPr>
          <w:bCs/>
          <w:b/>
        </w:rPr>
        <w:t xml:space="preserve">Professor</w:t>
      </w:r>
      <w:r>
        <w:t xml:space="preserve"> </w:t>
      </w:r>
      <w:r>
        <w:t xml:space="preserve">has maintained a robust publication record in high-impact, peer-reviewed journals. Notably, the research topics selected by the</w:t>
      </w:r>
      <w:r>
        <w:t xml:space="preserve"> </w:t>
      </w:r>
      <w:r>
        <w:rPr>
          <w:bCs/>
          <w:b/>
        </w:rPr>
        <w:t xml:space="preserve">Professor</w:t>
      </w:r>
      <w:r>
        <w:t xml:space="preserve"> </w:t>
      </w:r>
      <w:r>
        <w:t xml:space="preserve">show a strong alignment with the priorities of the Kingdom. Whether focusing on sustainable development, technological advancement, or social sciences, the work produced is relevant to the socio-economic context of</w:t>
      </w:r>
      <w:r>
        <w:t xml:space="preserve"> </w:t>
      </w:r>
      <w:r>
        <w:rPr>
          <w:bCs/>
          <w:b/>
        </w:rPr>
        <w:t xml:space="preserve">Jeddah</w:t>
      </w:r>
      <w:r>
        <w:t xml:space="preserve"> </w:t>
      </w:r>
      <w:r>
        <w:t xml:space="preserve">and the wider region.</w:t>
      </w:r>
    </w:p>
    <w:p>
      <w:pPr>
        <w:pStyle w:val="BodyText"/>
      </w:pPr>
      <w:r>
        <w:t xml:space="preserve">Additionally, the</w:t>
      </w:r>
      <w:r>
        <w:t xml:space="preserve"> </w:t>
      </w:r>
      <w:r>
        <w:rPr>
          <w:bCs/>
          <w:b/>
        </w:rPr>
        <w:t xml:space="preserve">Professor</w:t>
      </w:r>
      <w:r>
        <w:t xml:space="preserve"> </w:t>
      </w:r>
      <w:r>
        <w:t xml:space="preserve">has been active in securing external funding and collaborating with industry partners. This engagement is vital for bridging the gap between academia and the private sector, a key objective of the national agenda. The</w:t>
      </w:r>
      <w:r>
        <w:t xml:space="preserve"> </w:t>
      </w:r>
      <w:r>
        <w:rPr>
          <w:bCs/>
          <w:b/>
        </w:rPr>
        <w:t xml:space="preserve">Professor</w:t>
      </w:r>
      <w:r>
        <w:t xml:space="preserve"> </w:t>
      </w:r>
      <w:r>
        <w:t xml:space="preserve">has also contributed to the research culture of the department by mentoring junior faculty and graduate students, fostering an environment of inquiry and intellectual rigor.</w:t>
      </w:r>
    </w:p>
    <w:bookmarkEnd w:id="23"/>
    <w:bookmarkStart w:id="24" w:name="service-and-community-engagement"/>
    <w:p>
      <w:pPr>
        <w:pStyle w:val="Heading2"/>
      </w:pPr>
      <w:r>
        <w:t xml:space="preserve">4. Service and Community Engagement</w:t>
      </w:r>
    </w:p>
    <w:p>
      <w:pPr>
        <w:pStyle w:val="FirstParagraph"/>
      </w:pPr>
      <w:r>
        <w:t xml:space="preserve">Beyond teaching and research, the</w:t>
      </w:r>
      <w:r>
        <w:t xml:space="preserve"> </w:t>
      </w:r>
      <w:r>
        <w:rPr>
          <w:bCs/>
          <w:b/>
        </w:rPr>
        <w:t xml:space="preserve">Professor</w:t>
      </w:r>
      <w:r>
        <w:t xml:space="preserve"> </w:t>
      </w:r>
      <w:r>
        <w:t xml:space="preserve">has demonstrated a strong sense of service to the institution and the community. In</w:t>
      </w:r>
      <w:r>
        <w:t xml:space="preserve"> </w:t>
      </w:r>
      <w:r>
        <w:rPr>
          <w:bCs/>
          <w:b/>
        </w:rPr>
        <w:t xml:space="preserve">Jeddah</w:t>
      </w:r>
      <w:r>
        <w:t xml:space="preserve">, the role of a university extends into the community, and faculty members are expected to be active citizens.</w:t>
      </w:r>
    </w:p>
    <w:p>
      <w:pPr>
        <w:pStyle w:val="BodyText"/>
      </w:pPr>
      <w:r>
        <w:t xml:space="preserve">The</w:t>
      </w:r>
      <w:r>
        <w:t xml:space="preserve"> </w:t>
      </w:r>
      <w:r>
        <w:rPr>
          <w:bCs/>
          <w:b/>
        </w:rPr>
        <w:t xml:space="preserve">Professor</w:t>
      </w:r>
      <w:r>
        <w:t xml:space="preserve"> </w:t>
      </w:r>
      <w:r>
        <w:t xml:space="preserve">has served on various university committees, contributing to curriculum development and policy formulation. Their input has been valuable in ensuring that academic programs remain current and relevant. Moreover, the</w:t>
      </w:r>
      <w:r>
        <w:t xml:space="preserve"> </w:t>
      </w:r>
      <w:r>
        <w:rPr>
          <w:bCs/>
          <w:b/>
        </w:rPr>
        <w:t xml:space="preserve">Professor</w:t>
      </w:r>
      <w:r>
        <w:t xml:space="preserve"> </w:t>
      </w:r>
      <w:r>
        <w:t xml:space="preserve">has engaged in community outreach programs, offering expertise to local organizations and participating in public lectures. This visibility enhances the reputation of the university and strengthens its ties with the local community in</w:t>
      </w:r>
      <w:r>
        <w:t xml:space="preserve"> </w:t>
      </w:r>
      <w:r>
        <w:rPr>
          <w:bCs/>
          <w:b/>
        </w:rPr>
        <w:t xml:space="preserve">Saudi Arabia</w:t>
      </w:r>
      <w:r>
        <w:t xml:space="preserve">.</w:t>
      </w:r>
    </w:p>
    <w:bookmarkEnd w:id="24"/>
    <w:bookmarkStart w:id="25" w:name="alignment-with-saudi-vision-2030"/>
    <w:p>
      <w:pPr>
        <w:pStyle w:val="Heading2"/>
      </w:pPr>
      <w:r>
        <w:t xml:space="preserve">5. Alignment with Saudi Vision 2030</w:t>
      </w:r>
    </w:p>
    <w:p>
      <w:pPr>
        <w:pStyle w:val="FirstParagraph"/>
      </w:pPr>
      <w:r>
        <w:t xml:space="preserve">It is imperative that this</w:t>
      </w:r>
      <w:r>
        <w:t xml:space="preserve"> </w:t>
      </w:r>
      <w:r>
        <w:rPr>
          <w:bCs/>
          <w:b/>
        </w:rPr>
        <w:t xml:space="preserve">Peer Review Report</w:t>
      </w:r>
      <w:r>
        <w:t xml:space="preserve"> </w:t>
      </w:r>
      <w:r>
        <w:t xml:space="preserve">addresses how the</w:t>
      </w:r>
      <w:r>
        <w:t xml:space="preserve"> </w:t>
      </w:r>
      <w:r>
        <w:rPr>
          <w:bCs/>
          <w:b/>
        </w:rPr>
        <w:t xml:space="preserve">Professor</w:t>
      </w:r>
      <w:r>
        <w:t xml:space="preserve">'s work aligns with the transformative goals of Saudi Vision 2030. The</w:t>
      </w:r>
      <w:r>
        <w:t xml:space="preserve"> </w:t>
      </w:r>
      <w:r>
        <w:rPr>
          <w:bCs/>
          <w:b/>
        </w:rPr>
        <w:t xml:space="preserve">Professor</w:t>
      </w:r>
      <w:r>
        <w:t xml:space="preserve"> </w:t>
      </w:r>
      <w:r>
        <w:t xml:space="preserve">has shown a clear understanding of these national goals and has integrated them into their professional practice.</w:t>
      </w:r>
    </w:p>
    <w:p>
      <w:pPr>
        <w:pStyle w:val="BodyText"/>
      </w:pPr>
      <w:r>
        <w:t xml:space="preserve">By focusing on innovation, sustainability, and human capital development, the</w:t>
      </w:r>
      <w:r>
        <w:t xml:space="preserve"> </w:t>
      </w:r>
      <w:r>
        <w:rPr>
          <w:bCs/>
          <w:b/>
        </w:rPr>
        <w:t xml:space="preserve">Professor</w:t>
      </w:r>
      <w:r>
        <w:t xml:space="preserve"> </w:t>
      </w:r>
      <w:r>
        <w:t xml:space="preserve">is directly contributing to the Kingdom's ambition to diversify its economy and enhance the quality of life for its citizens. The emphasis on preparing students for the future workforce is particularly notable, ensuring that graduates from</w:t>
      </w:r>
      <w:r>
        <w:t xml:space="preserve"> </w:t>
      </w:r>
      <w:r>
        <w:rPr>
          <w:bCs/>
          <w:b/>
        </w:rPr>
        <w:t xml:space="preserve">Jeddah</w:t>
      </w:r>
      <w:r>
        <w:t xml:space="preserve"> </w:t>
      </w:r>
      <w:r>
        <w:t xml:space="preserve">are equipped with the skills necessary to thrive in a rapidly changing global environment.</w:t>
      </w:r>
    </w:p>
    <w:bookmarkEnd w:id="25"/>
    <w:bookmarkStart w:id="26" w:name="recommendations-and-conclusion"/>
    <w:p>
      <w:pPr>
        <w:pStyle w:val="Heading2"/>
      </w:pPr>
      <w:r>
        <w:t xml:space="preserve">6. Recommendations and Conclusion</w:t>
      </w:r>
    </w:p>
    <w:p>
      <w:pPr>
        <w:pStyle w:val="FirstParagraph"/>
      </w:pPr>
      <w:r>
        <w:t xml:space="preserve">Based on the evidence gathered during this</w:t>
      </w:r>
      <w:r>
        <w:t xml:space="preserve"> </w:t>
      </w:r>
      <w:r>
        <w:rPr>
          <w:bCs/>
          <w:b/>
        </w:rPr>
        <w:t xml:space="preserve">Peer Review Report</w:t>
      </w:r>
      <w:r>
        <w:t xml:space="preserve">, the</w:t>
      </w:r>
      <w:r>
        <w:t xml:space="preserve"> </w:t>
      </w:r>
      <w:r>
        <w:rPr>
          <w:bCs/>
          <w:b/>
        </w:rPr>
        <w:t xml:space="preserve">Professor</w:t>
      </w:r>
      <w:r>
        <w:t xml:space="preserve"> </w:t>
      </w:r>
      <w:r>
        <w:t xml:space="preserve">is evaluated as a highly effective and dedicated academic. Their performance in teaching, research, and service meets and often exceeds the expectations set by the institution and the broader academic community in</w:t>
      </w:r>
      <w:r>
        <w:t xml:space="preserve"> </w:t>
      </w:r>
      <w:r>
        <w:rPr>
          <w:bCs/>
          <w:b/>
        </w:rPr>
        <w:t xml:space="preserve">Saudi Arabia</w:t>
      </w:r>
      <w:r>
        <w:t xml:space="preserve">.</w:t>
      </w:r>
    </w:p>
    <w:p>
      <w:pPr>
        <w:pStyle w:val="BodyText"/>
      </w:pPr>
      <w:r>
        <w:rPr>
          <w:bCs/>
          <w:b/>
        </w:rPr>
        <w:t xml:space="preserve">Recommendations:</w:t>
      </w:r>
    </w:p>
    <w:p>
      <w:pPr>
        <w:numPr>
          <w:ilvl w:val="0"/>
          <w:numId w:val="1001"/>
        </w:numPr>
        <w:pStyle w:val="Compact"/>
      </w:pPr>
      <w:r>
        <w:t xml:space="preserve">Continue to expand research collaborations with international institutions to further elevate the global profile of the department.</w:t>
      </w:r>
    </w:p>
    <w:p>
      <w:pPr>
        <w:numPr>
          <w:ilvl w:val="0"/>
          <w:numId w:val="1001"/>
        </w:numPr>
        <w:pStyle w:val="Compact"/>
      </w:pPr>
      <w:r>
        <w:t xml:space="preserve">Increase involvement in industry-sponsored projects to further align academic output with the economic needs of</w:t>
      </w:r>
      <w:r>
        <w:t xml:space="preserve"> </w:t>
      </w:r>
      <w:r>
        <w:rPr>
          <w:bCs/>
          <w:b/>
        </w:rPr>
        <w:t xml:space="preserve">Jeddah</w:t>
      </w:r>
      <w:r>
        <w:t xml:space="preserve">.</w:t>
      </w:r>
    </w:p>
    <w:p>
      <w:pPr>
        <w:numPr>
          <w:ilvl w:val="0"/>
          <w:numId w:val="1001"/>
        </w:numPr>
        <w:pStyle w:val="Compact"/>
      </w:pPr>
      <w:r>
        <w:t xml:space="preserve">Mentor more junior faculty members to help build a stronger research culture within the university.</w:t>
      </w:r>
    </w:p>
    <w:p>
      <w:pPr>
        <w:pStyle w:val="FirstParagraph"/>
      </w:pPr>
      <w:r>
        <w:t xml:space="preserve">In conclusion, the</w:t>
      </w:r>
      <w:r>
        <w:t xml:space="preserve"> </w:t>
      </w:r>
      <w:r>
        <w:rPr>
          <w:bCs/>
          <w:b/>
        </w:rPr>
        <w:t xml:space="preserve">Professor</w:t>
      </w:r>
      <w:r>
        <w:t xml:space="preserve"> </w:t>
      </w:r>
      <w:r>
        <w:t xml:space="preserve">is an asset to the university and a positive representative of the academic standards in</w:t>
      </w:r>
      <w:r>
        <w:t xml:space="preserve"> </w:t>
      </w:r>
      <w:r>
        <w:rPr>
          <w:bCs/>
          <w:b/>
        </w:rPr>
        <w:t xml:space="preserve">Jeddah</w:t>
      </w:r>
      <w:r>
        <w:t xml:space="preserve">. This</w:t>
      </w:r>
      <w:r>
        <w:t xml:space="preserve"> </w:t>
      </w:r>
      <w:r>
        <w:rPr>
          <w:bCs/>
          <w:b/>
        </w:rPr>
        <w:t xml:space="preserve">Peer Review Report</w:t>
      </w:r>
      <w:r>
        <w:t xml:space="preserve"> </w:t>
      </w:r>
      <w:r>
        <w:t xml:space="preserve">recommends the continuation of their appointment with full support for their ongoing professional development.</w:t>
      </w:r>
    </w:p>
    <w:p>
      <w:pPr>
        <w:pStyle w:val="BodyText"/>
      </w:pPr>
      <w:r>
        <w:rPr>
          <w:bCs/>
          <w:b/>
        </w:rPr>
        <w:t xml:space="preserve">Reviewer Signature:</w:t>
      </w:r>
    </w:p>
    <w:p>
      <w:pPr>
        <w:pStyle w:val="BodyText"/>
      </w:pPr>
      <w:r>
        <w:t xml:space="preserve">__________________________</w:t>
      </w:r>
    </w:p>
    <w:p>
      <w:pPr>
        <w:pStyle w:val="BodyText"/>
      </w:pPr>
      <w:r>
        <w:t xml:space="preserve">Dr. [Reviewer Name]</w:t>
      </w:r>
    </w:p>
    <w:p>
      <w:pPr>
        <w:pStyle w:val="BodyText"/>
      </w:pPr>
      <w:r>
        <w:t xml:space="preserve">Senior Faculty Member</w:t>
      </w:r>
    </w:p>
    <w:p>
      <w:pPr>
        <w:pStyle w:val="BodyText"/>
      </w:pPr>
      <w:r>
        <w:rPr>
          <w:bCs/>
          <w:b/>
        </w:rPr>
        <w:t xml:space="preserve">Department Head Signature:</w:t>
      </w:r>
    </w:p>
    <w:p>
      <w:pPr>
        <w:pStyle w:val="BodyText"/>
      </w:pPr>
      <w:r>
        <w:t xml:space="preserve">__________________________</w:t>
      </w:r>
    </w:p>
    <w:p>
      <w:pPr>
        <w:pStyle w:val="BodyText"/>
      </w:pPr>
      <w:r>
        <w:t xml:space="preserve">Dr. [Head Name]</w:t>
      </w:r>
    </w:p>
    <w:p>
      <w:pPr>
        <w:pStyle w:val="BodyText"/>
      </w:pPr>
      <w:r>
        <w:t xml:space="preserve">Head of Department</w:t>
      </w:r>
    </w:p>
    <w:p>
      <w:pPr>
        <w:pStyle w:val="BodyText"/>
      </w:pPr>
      <w:r>
        <w:t xml:space="preserve">Confidential Document - For Internal Academic Use Only</w:t>
      </w:r>
    </w:p>
    <w:p>
      <w:pPr>
        <w:pStyle w:val="BodyText"/>
      </w:pPr>
      <w:r>
        <w:t xml:space="preserve">Prepared in accordance with the regulations of the Ministry of Education,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2026-10-10T08:50:23Z</dcterms:created>
  <dcterms:modified xsi:type="dcterms:W3CDTF">2026-10-10T08:50:23Z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