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t xml:space="preserve">Academic Evaluation of Faculty Performance</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Turkey Istanbul</w:t>
      </w:r>
      <w:r>
        <w:br/>
      </w:r>
      <w:r>
        <w:rPr>
          <w:bCs/>
          <w:b/>
        </w:rPr>
        <w:t xml:space="preserve">Institution:</w:t>
      </w:r>
      <w:r>
        <w:t xml:space="preserve"> </w:t>
      </w:r>
      <w:r>
        <w:t xml:space="preserve">[University Name], Istanbul Campus</w:t>
      </w:r>
    </w:p>
    <w:p>
      <w:pPr>
        <w:pStyle w:val="BodyText"/>
      </w:pPr>
      <w:r>
        <w:rPr>
          <w:bCs/>
          <w:b/>
        </w:rPr>
        <w:t xml:space="preserve">Review Type:</w:t>
      </w:r>
      <w:r>
        <w:t xml:space="preserve"> </w:t>
      </w:r>
      <w:r>
        <w:t xml:space="preserve">Annual Faculty Assessment</w:t>
      </w:r>
      <w:r>
        <w:br/>
      </w:r>
      <w:r>
        <w:rPr>
          <w:bCs/>
          <w:b/>
        </w:rPr>
        <w:t xml:space="preserve">Subject:</w:t>
      </w:r>
      <w:r>
        <w:t xml:space="preserve"> </w:t>
      </w:r>
      <w:r>
        <w:t xml:space="preserve">Professor [Name]</w:t>
      </w:r>
      <w:r>
        <w:br/>
      </w:r>
      <w:r>
        <w:rPr>
          <w:bCs/>
          <w:b/>
        </w:rPr>
        <w:t xml:space="preserve">Department:</w:t>
      </w:r>
      <w:r>
        <w:t xml:space="preserve"> </w:t>
      </w:r>
      <w:r>
        <w:t xml:space="preserve">[Department Name]</w:t>
      </w:r>
    </w:p>
    <w:bookmarkEnd w:id="20"/>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prepared in accordance with the academic standards and evaluation protocols established by the faculty board of the institution located in</w:t>
      </w:r>
      <w:r>
        <w:t xml:space="preserve"> </w:t>
      </w:r>
      <w:r>
        <w:rPr>
          <w:bCs/>
          <w:b/>
        </w:rPr>
        <w:t xml:space="preserve">Turkey Istanbul</w:t>
      </w:r>
      <w:r>
        <w:t xml:space="preserve">. The primary objective of this document is to provide a comprehensive, objective, and constructive assessment of the professional performance of the</w:t>
      </w:r>
      <w:r>
        <w:t xml:space="preserve"> </w:t>
      </w:r>
      <w:r>
        <w:rPr>
          <w:bCs/>
          <w:b/>
        </w:rPr>
        <w:t xml:space="preserve">Professor</w:t>
      </w:r>
      <w:r>
        <w:t xml:space="preserve"> </w:t>
      </w:r>
      <w:r>
        <w:t xml:space="preserve">under review.</w:t>
      </w:r>
    </w:p>
    <w:p>
      <w:pPr>
        <w:pStyle w:val="BodyText"/>
      </w:pPr>
      <w:r>
        <w:t xml:space="preserve">Given the dynamic academic environment in Istanbul, which serves as a bridge between European and Asian educational paradigms, this review places significant emphasis on the</w:t>
      </w:r>
      <w:r>
        <w:t xml:space="preserve"> </w:t>
      </w:r>
      <w:r>
        <w:rPr>
          <w:bCs/>
          <w:b/>
        </w:rPr>
        <w:t xml:space="preserve">Professor</w:t>
      </w:r>
      <w:r>
        <w:t xml:space="preserve">'s ability to integrate global research standards with local academic requirements. The evaluation covers the academic year 2022-2023 and focuses on three core pillars: teaching effectiveness, research productivity, and service to the university and the broader community in Turkey.</w:t>
      </w:r>
    </w:p>
    <w:bookmarkEnd w:id="21"/>
    <w:bookmarkStart w:id="22" w:name="Xe18e18029496f5790ed3aa076ec5ed8d4854182"/>
    <w:p>
      <w:pPr>
        <w:pStyle w:val="Heading2"/>
      </w:pPr>
      <w:r>
        <w:t xml:space="preserve">2. Teaching Effectiveness and Pedagogical Approach</w:t>
      </w:r>
    </w:p>
    <w:p>
      <w:pPr>
        <w:pStyle w:val="FirstParagraph"/>
      </w:pPr>
      <w:r>
        <w:t xml:space="preserve">The</w:t>
      </w:r>
      <w:r>
        <w:t xml:space="preserve"> </w:t>
      </w:r>
      <w:r>
        <w:rPr>
          <w:bCs/>
          <w:b/>
        </w:rPr>
        <w:t xml:space="preserve">Professor</w:t>
      </w:r>
      <w:r>
        <w:t xml:space="preserve"> </w:t>
      </w:r>
      <w:r>
        <w:t xml:space="preserve">demonstrates a high level of pedagogical competence, consistently delivering lectures that are both intellectually stimulating and accessible. During classroom observations conducted in Istanbul, it was noted that the</w:t>
      </w:r>
      <w:r>
        <w:t xml:space="preserve"> </w:t>
      </w:r>
      <w:r>
        <w:rPr>
          <w:bCs/>
          <w:b/>
        </w:rPr>
        <w:t xml:space="preserve">Professor</w:t>
      </w:r>
      <w:r>
        <w:t xml:space="preserve"> </w:t>
      </w:r>
      <w:r>
        <w:t xml:space="preserve">employs a variety of active learning strategies, encouraging critical thinking among undergraduate and graduate students alike.</w:t>
      </w:r>
    </w:p>
    <w:p>
      <w:pPr>
        <w:pStyle w:val="BodyText"/>
      </w:pPr>
      <w:r>
        <w:rPr>
          <w:bCs/>
          <w:b/>
        </w:rPr>
        <w:t xml:space="preserve">Curriculum Development:</w:t>
      </w:r>
      <w:r>
        <w:t xml:space="preserve"> </w:t>
      </w:r>
      <w:r>
        <w:t xml:space="preserve">The</w:t>
      </w:r>
      <w:r>
        <w:t xml:space="preserve"> </w:t>
      </w:r>
      <w:r>
        <w:rPr>
          <w:bCs/>
          <w:b/>
        </w:rPr>
        <w:t xml:space="preserve">Professor</w:t>
      </w:r>
      <w:r>
        <w:t xml:space="preserve"> </w:t>
      </w:r>
      <w:r>
        <w:t xml:space="preserve">has played a pivotal role in updating the departmental curriculum to align with international standards while respecting the cultural context of Turkey. The integration of case studies relevant to the Istanbul market and regional economic trends has been particularly praised by students.</w:t>
      </w:r>
    </w:p>
    <w:p>
      <w:pPr>
        <w:pStyle w:val="BodyText"/>
      </w:pPr>
      <w:r>
        <w:rPr>
          <w:bCs/>
          <w:b/>
        </w:rPr>
        <w:t xml:space="preserve">Student Engagement:</w:t>
      </w:r>
      <w:r>
        <w:t xml:space="preserve"> </w:t>
      </w:r>
      <w:r>
        <w:t xml:space="preserve">Feedback from students indicates that the</w:t>
      </w:r>
      <w:r>
        <w:t xml:space="preserve"> </w:t>
      </w:r>
      <w:r>
        <w:rPr>
          <w:bCs/>
          <w:b/>
        </w:rPr>
        <w:t xml:space="preserve">Professor</w:t>
      </w:r>
      <w:r>
        <w:t xml:space="preserve"> </w:t>
      </w:r>
      <w:r>
        <w:t xml:space="preserve">is approachable and maintains high office hour attendance. The ability to mentor students from diverse cultural backgrounds is a notable strength, reflecting the multicultural nature of the student body in Istanbul.</w:t>
      </w:r>
    </w:p>
    <w:bookmarkEnd w:id="22"/>
    <w:bookmarkStart w:id="23" w:name="X38a8c661f811da2702e303711a94b9e21253de4"/>
    <w:p>
      <w:pPr>
        <w:pStyle w:val="Heading2"/>
      </w:pPr>
      <w:r>
        <w:t xml:space="preserve">3. Research Productivity and Scholarly Impact</w:t>
      </w:r>
    </w:p>
    <w:p>
      <w:pPr>
        <w:pStyle w:val="FirstParagraph"/>
      </w:pPr>
      <w:r>
        <w:t xml:space="preserve">In the realm of research, the</w:t>
      </w:r>
      <w:r>
        <w:t xml:space="preserve"> </w:t>
      </w:r>
      <w:r>
        <w:rPr>
          <w:bCs/>
          <w:b/>
        </w:rPr>
        <w:t xml:space="preserve">Professor</w:t>
      </w:r>
      <w:r>
        <w:t xml:space="preserve"> </w:t>
      </w:r>
      <w:r>
        <w:t xml:space="preserve">has maintained a robust publication record. This</w:t>
      </w:r>
      <w:r>
        <w:t xml:space="preserve"> </w:t>
      </w:r>
      <w:r>
        <w:rPr>
          <w:bCs/>
          <w:b/>
        </w:rPr>
        <w:t xml:space="preserve">Peer Review Report</w:t>
      </w:r>
      <w:r>
        <w:t xml:space="preserve"> </w:t>
      </w:r>
      <w:r>
        <w:t xml:space="preserve">highlights the</w:t>
      </w:r>
      <w:r>
        <w:t xml:space="preserve"> </w:t>
      </w:r>
      <w:r>
        <w:rPr>
          <w:bCs/>
          <w:b/>
        </w:rPr>
        <w:t xml:space="preserve">Professor</w:t>
      </w:r>
      <w:r>
        <w:t xml:space="preserve">'s contributions to high-impact journals indexed in Scopus and Web of Science. The research topics selected are not only theoretically sound but also address contemporary challenges relevant to Turkey and the wider region.</w:t>
      </w:r>
    </w:p>
    <w:p>
      <w:pPr>
        <w:pStyle w:val="BodyText"/>
      </w:pPr>
      <w:r>
        <w:rPr>
          <w:bCs/>
          <w:b/>
        </w:rPr>
        <w:t xml:space="preserve">Grant Acquisition:</w:t>
      </w:r>
      <w:r>
        <w:t xml:space="preserve"> </w:t>
      </w:r>
      <w:r>
        <w:t xml:space="preserve">The</w:t>
      </w:r>
      <w:r>
        <w:t xml:space="preserve"> </w:t>
      </w:r>
      <w:r>
        <w:rPr>
          <w:bCs/>
          <w:b/>
        </w:rPr>
        <w:t xml:space="preserve">Professor</w:t>
      </w:r>
      <w:r>
        <w:t xml:space="preserve"> </w:t>
      </w:r>
      <w:r>
        <w:t xml:space="preserve">has successfully secured funding from both national bodies, such as the Scientific and Technological Research Council of Turkey (TÜBİTAK), and international partners. This demonstrates the</w:t>
      </w:r>
      <w:r>
        <w:t xml:space="preserve"> </w:t>
      </w:r>
      <w:r>
        <w:rPr>
          <w:bCs/>
          <w:b/>
        </w:rPr>
        <w:t xml:space="preserve">Professor</w:t>
      </w:r>
      <w:r>
        <w:t xml:space="preserve">'s ability to navigate the competitive funding landscape in Istanbul and beyond.</w:t>
      </w:r>
    </w:p>
    <w:p>
      <w:pPr>
        <w:pStyle w:val="BodyText"/>
      </w:pPr>
      <w:r>
        <w:rPr>
          <w:bCs/>
          <w:b/>
        </w:rPr>
        <w:t xml:space="preserve">Collaboration:</w:t>
      </w:r>
      <w:r>
        <w:t xml:space="preserve"> </w:t>
      </w:r>
      <w:r>
        <w:t xml:space="preserve">A key strength identified in this review is the</w:t>
      </w:r>
      <w:r>
        <w:t xml:space="preserve"> </w:t>
      </w:r>
      <w:r>
        <w:rPr>
          <w:bCs/>
          <w:b/>
        </w:rPr>
        <w:t xml:space="preserve">Professor</w:t>
      </w:r>
      <w:r>
        <w:t xml:space="preserve">'s collaborative spirit. By fostering partnerships with other institutions in Istanbul and across Europe, the</w:t>
      </w:r>
      <w:r>
        <w:t xml:space="preserve"> </w:t>
      </w:r>
      <w:r>
        <w:rPr>
          <w:bCs/>
          <w:b/>
        </w:rPr>
        <w:t xml:space="preserve">Professor</w:t>
      </w:r>
      <w:r>
        <w:t xml:space="preserve"> </w:t>
      </w:r>
      <w:r>
        <w:t xml:space="preserve">enhances the visibility and prestige of the university.</w:t>
      </w:r>
    </w:p>
    <w:bookmarkEnd w:id="23"/>
    <w:bookmarkStart w:id="24" w:name="service-to-the-university-and-community"/>
    <w:p>
      <w:pPr>
        <w:pStyle w:val="Heading2"/>
      </w:pPr>
      <w:r>
        <w:t xml:space="preserve">4. Service to the University and Community</w:t>
      </w:r>
    </w:p>
    <w:p>
      <w:pPr>
        <w:pStyle w:val="FirstParagraph"/>
      </w:pPr>
      <w:r>
        <w:t xml:space="preserve">The</w:t>
      </w:r>
      <w:r>
        <w:t xml:space="preserve"> </w:t>
      </w:r>
      <w:r>
        <w:rPr>
          <w:bCs/>
          <w:b/>
        </w:rPr>
        <w:t xml:space="preserve">Professor</w:t>
      </w:r>
      <w:r>
        <w:t xml:space="preserve"> </w:t>
      </w:r>
      <w:r>
        <w:t xml:space="preserve">has been an active participant in the governance of the university. Service activities include committee memberships, accreditation processes, and the organization of academic conferences in Istanbul. These contributions are vital for maintaining the institution's accreditation standards and academic reputation.</w:t>
      </w:r>
    </w:p>
    <w:p>
      <w:pPr>
        <w:pStyle w:val="BodyText"/>
      </w:pPr>
      <w:r>
        <w:t xml:space="preserve">Furthermore, the</w:t>
      </w:r>
      <w:r>
        <w:t xml:space="preserve"> </w:t>
      </w:r>
      <w:r>
        <w:rPr>
          <w:bCs/>
          <w:b/>
        </w:rPr>
        <w:t xml:space="preserve">Professor</w:t>
      </w:r>
      <w:r>
        <w:t xml:space="preserve"> </w:t>
      </w:r>
      <w:r>
        <w:t xml:space="preserve">engages in public service by participating in panel discussions and media interviews that address issues pertinent to Turkish society. This engagement helps bridge the gap between academia and the public, a crucial role for faculty members in a major metropolis like Istanbul.</w:t>
      </w:r>
    </w:p>
    <w:bookmarkEnd w:id="24"/>
    <w:bookmarkStart w:id="25" w:name="Xda79409093af40bd3d15ed7d2a5582dbca223f1"/>
    <w:p>
      <w:pPr>
        <w:pStyle w:val="Heading2"/>
      </w:pPr>
      <w:r>
        <w:t xml:space="preserve">5. Areas for Improvement and Recommendations</w:t>
      </w:r>
    </w:p>
    <w:p>
      <w:pPr>
        <w:pStyle w:val="FirstParagraph"/>
      </w:pPr>
      <w:r>
        <w:t xml:space="preserve">While the</w:t>
      </w:r>
      <w:r>
        <w:t xml:space="preserve"> </w:t>
      </w:r>
      <w:r>
        <w:rPr>
          <w:bCs/>
          <w:b/>
        </w:rPr>
        <w:t xml:space="preserve">Professor</w:t>
      </w:r>
      <w:r>
        <w:t xml:space="preserve">'s performance is commendable, this</w:t>
      </w:r>
      <w:r>
        <w:t xml:space="preserve"> </w:t>
      </w:r>
      <w:r>
        <w:rPr>
          <w:bCs/>
          <w:b/>
        </w:rPr>
        <w:t xml:space="preserve">Peer Review Report</w:t>
      </w:r>
      <w:r>
        <w:t xml:space="preserve"> </w:t>
      </w:r>
      <w:r>
        <w:t xml:space="preserve">identifies a few areas for potential growth:</w:t>
      </w:r>
    </w:p>
    <w:p>
      <w:pPr>
        <w:numPr>
          <w:ilvl w:val="0"/>
          <w:numId w:val="1001"/>
        </w:numPr>
        <w:pStyle w:val="Compact"/>
      </w:pPr>
      <w:r>
        <w:rPr>
          <w:bCs/>
          <w:b/>
        </w:rPr>
        <w:t xml:space="preserve">Supervision of Graduate Students:</w:t>
      </w:r>
      <w:r>
        <w:t xml:space="preserve"> </w:t>
      </w:r>
      <w:r>
        <w:t xml:space="preserve">It is recommended that the</w:t>
      </w:r>
      <w:r>
        <w:t xml:space="preserve"> </w:t>
      </w:r>
      <w:r>
        <w:rPr>
          <w:bCs/>
          <w:b/>
        </w:rPr>
        <w:t xml:space="preserve">Professor</w:t>
      </w:r>
      <w:r>
        <w:t xml:space="preserve"> </w:t>
      </w:r>
      <w:r>
        <w:t xml:space="preserve">increase the number of PhD candidates supervised to further strengthen the department's research output in Istanbul.</w:t>
      </w:r>
    </w:p>
    <w:p>
      <w:pPr>
        <w:numPr>
          <w:ilvl w:val="0"/>
          <w:numId w:val="1001"/>
        </w:numPr>
        <w:pStyle w:val="Compact"/>
      </w:pPr>
      <w:r>
        <w:rPr>
          <w:bCs/>
          <w:b/>
        </w:rPr>
        <w:t xml:space="preserve">Interdisciplinary Projects:</w:t>
      </w:r>
      <w:r>
        <w:t xml:space="preserve"> </w:t>
      </w:r>
      <w:r>
        <w:t xml:space="preserve">Encouraging more interdisciplinary collaborations within the university could enhance the</w:t>
      </w:r>
      <w:r>
        <w:t xml:space="preserve"> </w:t>
      </w:r>
      <w:r>
        <w:rPr>
          <w:bCs/>
          <w:b/>
        </w:rPr>
        <w:t xml:space="preserve">Professor</w:t>
      </w:r>
      <w:r>
        <w:t xml:space="preserve">'s research impact and align with the university's strategic goals.</w:t>
      </w:r>
    </w:p>
    <w:p>
      <w:pPr>
        <w:numPr>
          <w:ilvl w:val="0"/>
          <w:numId w:val="1001"/>
        </w:numPr>
        <w:pStyle w:val="Compact"/>
      </w:pPr>
      <w:r>
        <w:rPr>
          <w:bCs/>
          <w:b/>
        </w:rPr>
        <w:t xml:space="preserve">Digital Teaching Tools:</w:t>
      </w:r>
      <w:r>
        <w:t xml:space="preserve"> </w:t>
      </w:r>
      <w:r>
        <w:t xml:space="preserve">Although teaching is effective, further integration of advanced digital learning platforms could enhance the learning experience for remote and hybrid students.</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Professor</w:t>
      </w:r>
      <w:r>
        <w:t xml:space="preserve"> </w:t>
      </w:r>
      <w:r>
        <w:t xml:space="preserve">is a valuable asset to the academic community in</w:t>
      </w:r>
      <w:r>
        <w:t xml:space="preserve"> </w:t>
      </w:r>
      <w:r>
        <w:rPr>
          <w:bCs/>
          <w:b/>
        </w:rPr>
        <w:t xml:space="preserve">Turkey Istanbul</w:t>
      </w:r>
      <w:r>
        <w:t xml:space="preserve">. The</w:t>
      </w:r>
      <w:r>
        <w:t xml:space="preserve"> </w:t>
      </w:r>
      <w:r>
        <w:rPr>
          <w:bCs/>
          <w:b/>
        </w:rPr>
        <w:t xml:space="preserve">Professor</w:t>
      </w:r>
      <w:r>
        <w:t xml:space="preserve"> </w:t>
      </w:r>
      <w:r>
        <w:t xml:space="preserve">exhibits a strong commitment to teaching excellence, research innovation, and institutional service. The recommendations provided are intended to support the</w:t>
      </w:r>
      <w:r>
        <w:t xml:space="preserve"> </w:t>
      </w:r>
      <w:r>
        <w:rPr>
          <w:bCs/>
          <w:b/>
        </w:rPr>
        <w:t xml:space="preserve">Professor</w:t>
      </w:r>
      <w:r>
        <w:t xml:space="preserve">'s continued professional development and to further elevate the standards of the department.</w:t>
      </w:r>
    </w:p>
    <w:p>
      <w:pPr>
        <w:pStyle w:val="BodyText"/>
      </w:pPr>
      <w:r>
        <w:t xml:space="preserve">Based on the evidence reviewed, the evaluation committee recommends a positive outcome for this academic assessment.</w:t>
      </w:r>
    </w:p>
    <w:bookmarkEnd w:id="26"/>
    <w:p>
      <w:pPr>
        <w:pStyle w:val="BodyText"/>
      </w:pPr>
      <w:r>
        <w:rPr>
          <w:bCs/>
          <w:b/>
        </w:rPr>
        <w:t xml:space="preserve">Prepared by:</w:t>
      </w:r>
    </w:p>
    <w:p>
      <w:pPr>
        <w:pStyle w:val="BodyText"/>
      </w:pPr>
      <w:r>
        <w:t xml:space="preserve">Dr. [Reviewer Name]</w:t>
      </w:r>
      <w:r>
        <w:br/>
      </w:r>
      <w:r>
        <w:t xml:space="preserve">Senior Faculty Member</w:t>
      </w:r>
      <w:r>
        <w:br/>
      </w:r>
      <w:r>
        <w:t xml:space="preserve">[Department Name]</w:t>
      </w:r>
    </w:p>
    <w:p>
      <w:pPr>
        <w:pStyle w:val="BodyText"/>
      </w:pPr>
      <w:r>
        <w:br/>
      </w:r>
    </w:p>
    <w:p>
      <w:pPr>
        <w:pStyle w:val="BodyText"/>
      </w:pPr>
      <w:r>
        <w:rPr>
          <w:bCs/>
          <w:b/>
        </w:rPr>
        <w:t xml:space="preserve">Approved by:</w:t>
      </w:r>
    </w:p>
    <w:p>
      <w:pPr>
        <w:pStyle w:val="BodyText"/>
      </w:pPr>
      <w:r>
        <w:t xml:space="preserve">Prof. Dr. [Dean Name]</w:t>
      </w:r>
      <w:r>
        <w:br/>
      </w:r>
      <w:r>
        <w:t xml:space="preserve">Dean of Faculty</w:t>
      </w:r>
      <w:r>
        <w:br/>
      </w:r>
      <w:r>
        <w:t xml:space="preserve">[University Name],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Turkey Istanbul</dc:title>
  <dc:creator/>
  <dc:language>en</dc:language>
  <cp:keywords/>
  <dcterms:created xsi:type="dcterms:W3CDTF">2026-10-10T08:42:53Z</dcterms:created>
  <dcterms:modified xsi:type="dcterms:W3CDTF">2026-10-10T08:42:53Z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