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Professor</w:t>
      </w:r>
      <w:r>
        <w:t xml:space="preserve"> </w:t>
      </w:r>
      <w:r>
        <w:t xml:space="preserve">Evaluation</w:t>
      </w:r>
    </w:p>
    <w:bookmarkStart w:id="20" w:name="peer-review-report"/>
    <w:p>
      <w:pPr>
        <w:pStyle w:val="Heading1"/>
      </w:pPr>
      <w:r>
        <w:t xml:space="preserve">Peer Review Report</w:t>
      </w:r>
    </w:p>
    <w:p>
      <w:pPr>
        <w:pStyle w:val="FirstParagraph"/>
      </w:pPr>
      <w:r>
        <w:t xml:space="preserve">Academic Faculty Evaluation &amp; Performance Assessment</w:t>
      </w:r>
    </w:p>
    <w:bookmarkEnd w:id="20"/>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Academic Year 2022-2023</w:t>
      </w:r>
    </w:p>
    <w:p>
      <w:pPr>
        <w:pStyle w:val="BodyText"/>
      </w:pPr>
      <w:r>
        <w:rPr>
          <w:bCs/>
          <w:b/>
        </w:rPr>
        <w:t xml:space="preserve">Location:</w:t>
      </w:r>
      <w:r>
        <w:t xml:space="preserve"> </w:t>
      </w:r>
      <w:r>
        <w:t xml:space="preserve">United Arab Emirates, Dubai</w:t>
      </w:r>
    </w:p>
    <w:p>
      <w:pPr>
        <w:pStyle w:val="BodyText"/>
      </w:pPr>
      <w:r>
        <w:rPr>
          <w:bCs/>
          <w:b/>
        </w:rPr>
        <w:t xml:space="preserve">Institution Type:</w:t>
      </w:r>
      <w:r>
        <w:t xml:space="preserve"> </w:t>
      </w:r>
      <w:r>
        <w:t xml:space="preserve">Higher Education / University</w:t>
      </w:r>
    </w:p>
    <w:p>
      <w:pPr>
        <w:pStyle w:val="BodyText"/>
      </w:pPr>
      <w:r>
        <w:rPr>
          <w:bCs/>
          <w:b/>
        </w:rPr>
        <w:t xml:space="preserve">Subject Area:</w:t>
      </w:r>
      <w:r>
        <w:t xml:space="preserve"> </w:t>
      </w:r>
      <w:r>
        <w:t xml:space="preserve">Business Administration &amp; Management</w:t>
      </w:r>
    </w:p>
    <w:p>
      <w:pPr>
        <w:pStyle w:val="BodyText"/>
      </w:pPr>
      <w:r>
        <w:rPr>
          <w:bCs/>
          <w:b/>
        </w:rPr>
        <w:t xml:space="preserve">Reviewer ID:</w:t>
      </w:r>
      <w:r>
        <w:t xml:space="preserve"> </w:t>
      </w:r>
      <w:r>
        <w:t xml:space="preserve">PR-2023-DXB-089</w:t>
      </w:r>
    </w:p>
    <w:bookmarkStart w:id="21" w:name="executive-summary"/>
    <w:p>
      <w:pPr>
        <w:pStyle w:val="Heading2"/>
      </w:pPr>
      <w:r>
        <w:t xml:space="preserve">1. Executive Summary</w:t>
      </w:r>
    </w:p>
    <w:p>
      <w:pPr>
        <w:pStyle w:val="FirstParagraph"/>
      </w:pPr>
      <w:r>
        <w:t xml:space="preserve">This Peer Review Report has been conducted in accordance with the academic standards and regulatory frameworks established by the Knowledge and Human Development Authority (KHDA) and the Ministry of Education in the United Arab Emirates. The purpose of this evaluation is to assess the professional performance, pedagogical effectiveness, and research contributions of the Professor under review. The assessment focuses on alignment with the strategic vision of Dubai as a global hub for education and innovation.</w:t>
      </w:r>
    </w:p>
    <w:p>
      <w:pPr>
        <w:pStyle w:val="BodyText"/>
      </w:pPr>
      <w:r>
        <w:t xml:space="preserve">The Professor has demonstrated a high level of commitment to academic excellence, fostering an inclusive learning environment that reflects the multicultural diversity of Dubai. The review highlights significant strengths in curriculum development, student engagement, and community outreach, while also identifying areas for continued professional growth.</w:t>
      </w:r>
    </w:p>
    <w:bookmarkEnd w:id="21"/>
    <w:bookmarkStart w:id="22" w:name="X914f4c2f7ab4a64bee4cc057c6554918c235f5b"/>
    <w:p>
      <w:pPr>
        <w:pStyle w:val="Heading2"/>
      </w:pPr>
      <w:r>
        <w:t xml:space="preserve">2. Teaching Effectiveness and Pedagogical Practice</w:t>
      </w:r>
    </w:p>
    <w:p>
      <w:pPr>
        <w:pStyle w:val="FirstParagraph"/>
      </w:pPr>
      <w:r>
        <w:t xml:space="preserve">The Professor’s teaching methodology is characterized by a student-centered approach that integrates modern educational technologies and active learning strategies. Classroom observations revealed a dynamic instructional style that encourages critical thinking, problem-solving, and collaborative learning among students from diverse cultural backgrounds.</w:t>
      </w:r>
    </w:p>
    <w:p>
      <w:pPr>
        <w:pStyle w:val="BodyText"/>
      </w:pPr>
      <w:r>
        <w:t xml:space="preserve">Key strengths identified include:</w:t>
      </w:r>
    </w:p>
    <w:p>
      <w:pPr>
        <w:numPr>
          <w:ilvl w:val="0"/>
          <w:numId w:val="1001"/>
        </w:numPr>
        <w:pStyle w:val="Compact"/>
      </w:pPr>
      <w:r>
        <w:t xml:space="preserve">Effective use of digital learning platforms and multimedia resources to enhance student engagement.</w:t>
      </w:r>
    </w:p>
    <w:p>
      <w:pPr>
        <w:numPr>
          <w:ilvl w:val="0"/>
          <w:numId w:val="1001"/>
        </w:numPr>
        <w:pStyle w:val="Compact"/>
      </w:pPr>
      <w:r>
        <w:t xml:space="preserve">Clear articulation of learning objectives and alignment with international accreditation standards.</w:t>
      </w:r>
    </w:p>
    <w:p>
      <w:pPr>
        <w:numPr>
          <w:ilvl w:val="0"/>
          <w:numId w:val="1001"/>
        </w:numPr>
        <w:pStyle w:val="Compact"/>
      </w:pPr>
      <w:r>
        <w:t xml:space="preserve">Provision of timely, constructive feedback that supports student development and academic improvement.</w:t>
      </w:r>
    </w:p>
    <w:p>
      <w:pPr>
        <w:numPr>
          <w:ilvl w:val="0"/>
          <w:numId w:val="1001"/>
        </w:numPr>
        <w:pStyle w:val="Compact"/>
      </w:pPr>
      <w:r>
        <w:t xml:space="preserve">Adaptability in teaching methods to accommodate different learning styles and needs.</w:t>
      </w:r>
    </w:p>
    <w:p>
      <w:pPr>
        <w:pStyle w:val="FirstParagraph"/>
      </w:pPr>
      <w:r>
        <w:t xml:space="preserve">The Professor has successfully incorporated real-world case studies relevant to the business environment in Dubai and the broader Middle East region, thereby enhancing the practical relevance of the curriculum.</w:t>
      </w:r>
    </w:p>
    <w:bookmarkEnd w:id="22"/>
    <w:bookmarkStart w:id="23" w:name="research-and-scholarly-contributions"/>
    <w:p>
      <w:pPr>
        <w:pStyle w:val="Heading2"/>
      </w:pPr>
      <w:r>
        <w:t xml:space="preserve">3. Research and Scholarly Contributions</w:t>
      </w:r>
    </w:p>
    <w:p>
      <w:pPr>
        <w:pStyle w:val="FirstParagraph"/>
      </w:pPr>
      <w:r>
        <w:t xml:space="preserve">The Professor has maintained an active research profile with publications in reputable international journals. The research agenda demonstrates a strong focus on topics pertinent to economic development, innovation, and sustainable business practices in emerging markets, including the United Arab Emirates.</w:t>
      </w:r>
    </w:p>
    <w:p>
      <w:pPr>
        <w:pStyle w:val="BodyText"/>
      </w:pPr>
      <w:r>
        <w:t xml:space="preserve">Notable achievements during the review period include:</w:t>
      </w:r>
    </w:p>
    <w:p>
      <w:pPr>
        <w:numPr>
          <w:ilvl w:val="0"/>
          <w:numId w:val="1002"/>
        </w:numPr>
        <w:pStyle w:val="Compact"/>
      </w:pPr>
      <w:r>
        <w:t xml:space="preserve">Publication of three peer-reviewed articles in Q1/Q2 ranked journals.</w:t>
      </w:r>
    </w:p>
    <w:p>
      <w:pPr>
        <w:numPr>
          <w:ilvl w:val="0"/>
          <w:numId w:val="1002"/>
        </w:numPr>
        <w:pStyle w:val="Compact"/>
      </w:pPr>
      <w:r>
        <w:t xml:space="preserve">Successful acquisition of external research funding to support collaborative projects.</w:t>
      </w:r>
    </w:p>
    <w:p>
      <w:pPr>
        <w:numPr>
          <w:ilvl w:val="0"/>
          <w:numId w:val="1002"/>
        </w:numPr>
        <w:pStyle w:val="Compact"/>
      </w:pPr>
      <w:r>
        <w:t xml:space="preserve">Active participation in international conferences and academic networks.</w:t>
      </w:r>
    </w:p>
    <w:p>
      <w:pPr>
        <w:numPr>
          <w:ilvl w:val="0"/>
          <w:numId w:val="1002"/>
        </w:numPr>
        <w:pStyle w:val="Compact"/>
      </w:pPr>
      <w:r>
        <w:t xml:space="preserve">Mentorship of graduate students in their research endeavors.</w:t>
      </w:r>
    </w:p>
    <w:p>
      <w:pPr>
        <w:pStyle w:val="FirstParagraph"/>
      </w:pPr>
      <w:r>
        <w:t xml:space="preserve">The Professor’s scholarly work contributes meaningfully to the institution’s research output and aligns with Dubai’s strategic goals of fostering knowledge-based industries and innovation.</w:t>
      </w:r>
    </w:p>
    <w:bookmarkEnd w:id="23"/>
    <w:bookmarkStart w:id="24" w:name="service-and-professional-engagement"/>
    <w:p>
      <w:pPr>
        <w:pStyle w:val="Heading2"/>
      </w:pPr>
      <w:r>
        <w:t xml:space="preserve">4. Service and Professional Engagement</w:t>
      </w:r>
    </w:p>
    <w:p>
      <w:pPr>
        <w:pStyle w:val="FirstParagraph"/>
      </w:pPr>
      <w:r>
        <w:t xml:space="preserve">The Professor has been actively involved in various service activities that support the academic community and the wider society in Dubai. These contributions include:</w:t>
      </w:r>
    </w:p>
    <w:p>
      <w:pPr>
        <w:numPr>
          <w:ilvl w:val="0"/>
          <w:numId w:val="1003"/>
        </w:numPr>
        <w:pStyle w:val="Compact"/>
      </w:pPr>
      <w:r>
        <w:t xml:space="preserve">Participation in departmental and university committees focused on curriculum review and academic policy development.</w:t>
      </w:r>
    </w:p>
    <w:p>
      <w:pPr>
        <w:numPr>
          <w:ilvl w:val="0"/>
          <w:numId w:val="1003"/>
        </w:numPr>
        <w:pStyle w:val="Compact"/>
      </w:pPr>
      <w:r>
        <w:t xml:space="preserve">Engagement in community outreach programs that promote lifelong learning and professional development.</w:t>
      </w:r>
    </w:p>
    <w:p>
      <w:pPr>
        <w:numPr>
          <w:ilvl w:val="0"/>
          <w:numId w:val="1003"/>
        </w:numPr>
        <w:pStyle w:val="Compact"/>
      </w:pPr>
      <w:r>
        <w:t xml:space="preserve">Collaboration with industry partners to facilitate internships, guest lectures, and applied research projects.</w:t>
      </w:r>
    </w:p>
    <w:p>
      <w:pPr>
        <w:numPr>
          <w:ilvl w:val="0"/>
          <w:numId w:val="1003"/>
        </w:numPr>
        <w:pStyle w:val="Compact"/>
      </w:pPr>
      <w:r>
        <w:t xml:space="preserve">Commitment to ethical standards and academic integrity in all professional activities.</w:t>
      </w:r>
    </w:p>
    <w:p>
      <w:pPr>
        <w:pStyle w:val="FirstParagraph"/>
      </w:pPr>
      <w:r>
        <w:t xml:space="preserve">The Professor’s service activities reflect a strong sense of institutional loyalty and a dedication to enhancing the reputation of the university within the United Arab Emirates and internationally.</w:t>
      </w:r>
    </w:p>
    <w:bookmarkEnd w:id="24"/>
    <w:bookmarkStart w:id="25" w:name="Xa27c7729b0a0c483468e621cacb09ef8a0f0a3f"/>
    <w:p>
      <w:pPr>
        <w:pStyle w:val="Heading2"/>
      </w:pPr>
      <w:r>
        <w:t xml:space="preserve">5. Alignment with UAE and Dubai Educational Standards</w:t>
      </w:r>
    </w:p>
    <w:p>
      <w:pPr>
        <w:pStyle w:val="FirstParagraph"/>
      </w:pPr>
      <w:r>
        <w:t xml:space="preserve">The Professor’s performance is evaluated against the quality assurance frameworks mandated by UAE regulatory bodies. The review confirms that the Professor adheres to national standards for higher education, including:</w:t>
      </w:r>
    </w:p>
    <w:p>
      <w:pPr>
        <w:numPr>
          <w:ilvl w:val="0"/>
          <w:numId w:val="1004"/>
        </w:numPr>
        <w:pStyle w:val="Compact"/>
      </w:pPr>
      <w:r>
        <w:t xml:space="preserve">Compliance with KHDA and Ministry of Education guidelines for teaching and assessment.</w:t>
      </w:r>
    </w:p>
    <w:p>
      <w:pPr>
        <w:numPr>
          <w:ilvl w:val="0"/>
          <w:numId w:val="1004"/>
        </w:numPr>
        <w:pStyle w:val="Compact"/>
      </w:pPr>
      <w:r>
        <w:t xml:space="preserve">Integration of Emirati cultural values and national priorities into the curriculum where appropriate.</w:t>
      </w:r>
    </w:p>
    <w:p>
      <w:pPr>
        <w:numPr>
          <w:ilvl w:val="0"/>
          <w:numId w:val="1004"/>
        </w:numPr>
        <w:pStyle w:val="Compact"/>
      </w:pPr>
      <w:r>
        <w:t xml:space="preserve">Support for the development of a knowledge-based economy through research and innovation.</w:t>
      </w:r>
    </w:p>
    <w:p>
      <w:pPr>
        <w:numPr>
          <w:ilvl w:val="0"/>
          <w:numId w:val="1004"/>
        </w:numPr>
        <w:pStyle w:val="Compact"/>
      </w:pPr>
      <w:r>
        <w:t xml:space="preserve">Promotion of diversity, inclusion, and global citizenship among students.</w:t>
      </w:r>
    </w:p>
    <w:p>
      <w:pPr>
        <w:pStyle w:val="FirstParagraph"/>
      </w:pPr>
      <w:r>
        <w:t xml:space="preserve">The Professor’s efforts contribute to the broader mission of positioning Dubai as a leading destination for higher education in the region.</w:t>
      </w:r>
    </w:p>
    <w:bookmarkEnd w:id="25"/>
    <w:bookmarkStart w:id="26" w:name="Xda79409093af40bd3d15ed7d2a5582dbca223f1"/>
    <w:p>
      <w:pPr>
        <w:pStyle w:val="Heading2"/>
      </w:pPr>
      <w:r>
        <w:t xml:space="preserve">6. Areas for Improvement and Recommendations</w:t>
      </w:r>
    </w:p>
    <w:p>
      <w:pPr>
        <w:pStyle w:val="FirstParagraph"/>
      </w:pPr>
      <w:r>
        <w:t xml:space="preserve">While the Professor’s overall performance is commendable, the following areas are recommended for further development:</w:t>
      </w:r>
    </w:p>
    <w:p>
      <w:pPr>
        <w:numPr>
          <w:ilvl w:val="0"/>
          <w:numId w:val="1005"/>
        </w:numPr>
        <w:pStyle w:val="Compact"/>
      </w:pPr>
      <w:r>
        <w:t xml:space="preserve">Expand interdisciplinary research collaborations to address complex regional challenges.</w:t>
      </w:r>
    </w:p>
    <w:p>
      <w:pPr>
        <w:numPr>
          <w:ilvl w:val="0"/>
          <w:numId w:val="1005"/>
        </w:numPr>
        <w:pStyle w:val="Compact"/>
      </w:pPr>
      <w:r>
        <w:t xml:space="preserve">Increase involvement in national policy advisory roles to leverage academic expertise for societal impact.</w:t>
      </w:r>
    </w:p>
    <w:p>
      <w:pPr>
        <w:numPr>
          <w:ilvl w:val="0"/>
          <w:numId w:val="1005"/>
        </w:numPr>
        <w:pStyle w:val="Compact"/>
      </w:pPr>
      <w:r>
        <w:t xml:space="preserve">Enhance the use of data analytics in teaching to personalize learning experiences further.</w:t>
      </w:r>
    </w:p>
    <w:p>
      <w:pPr>
        <w:numPr>
          <w:ilvl w:val="0"/>
          <w:numId w:val="1005"/>
        </w:numPr>
        <w:pStyle w:val="Compact"/>
      </w:pPr>
      <w:r>
        <w:t xml:space="preserve">Pursue additional opportunities for international academic partnerships and student exchange programs.</w:t>
      </w:r>
    </w:p>
    <w:p>
      <w:pPr>
        <w:pStyle w:val="FirstParagraph"/>
      </w:pPr>
      <w:r>
        <w:t xml:space="preserve">These recommendations are intended to support the Professor’s continued professional growth and alignment with the evolving educational landscape in Dubai.</w:t>
      </w:r>
    </w:p>
    <w:bookmarkEnd w:id="26"/>
    <w:bookmarkStart w:id="27" w:name="overall-assessment-and-rating"/>
    <w:p>
      <w:pPr>
        <w:pStyle w:val="Heading2"/>
      </w:pPr>
      <w:r>
        <w:t xml:space="preserve">7. Overall Assessment and Rating</w:t>
      </w:r>
    </w:p>
    <w:p>
      <w:pPr>
        <w:pStyle w:val="FirstParagraph"/>
      </w:pPr>
      <w:r>
        <w:t xml:space="preserve">Teaching Effectiveness</w:t>
      </w:r>
      <w:r>
        <w:t xml:space="preserve"> </w:t>
      </w:r>
      <w:r>
        <w:t xml:space="preserve">4.7 / 5.0</w:t>
      </w:r>
    </w:p>
    <w:p>
      <w:pPr>
        <w:pStyle w:val="BodyText"/>
      </w:pPr>
      <w:r>
        <w:t xml:space="preserve">Research and Scholarship</w:t>
      </w:r>
      <w:r>
        <w:t xml:space="preserve"> </w:t>
      </w:r>
      <w:r>
        <w:t xml:space="preserve">4.5 / 5.0</w:t>
      </w:r>
    </w:p>
    <w:p>
      <w:pPr>
        <w:pStyle w:val="BodyText"/>
      </w:pPr>
      <w:r>
        <w:t xml:space="preserve">Service and Engagement</w:t>
      </w:r>
      <w:r>
        <w:t xml:space="preserve"> </w:t>
      </w:r>
      <w:r>
        <w:t xml:space="preserve">4.6 / 5.0</w:t>
      </w:r>
    </w:p>
    <w:p>
      <w:pPr>
        <w:pStyle w:val="BodyText"/>
      </w:pPr>
      <w:r>
        <w:t xml:space="preserve">Alignment with UAE Standards</w:t>
      </w:r>
      <w:r>
        <w:t xml:space="preserve"> </w:t>
      </w:r>
      <w:r>
        <w:t xml:space="preserve">4.8 / 5.0</w:t>
      </w:r>
    </w:p>
    <w:p>
      <w:pPr>
        <w:pStyle w:val="BodyText"/>
      </w:pPr>
      <w:r>
        <w:t xml:space="preserve">Overall Performance Rating</w:t>
      </w:r>
      <w:r>
        <w:t xml:space="preserve"> </w:t>
      </w:r>
      <w:r>
        <w:t xml:space="preserve">4.65 / 5.0 - Excellent</w:t>
      </w:r>
    </w:p>
    <w:p>
      <w:pPr>
        <w:pStyle w:val="BodyText"/>
      </w:pPr>
      <w:r>
        <w:t xml:space="preserve">Based on the comprehensive evaluation, the Professor is rated as “Excellent” and is recommended for continued appointment and consideration for leadership roles within the institution.</w:t>
      </w:r>
    </w:p>
    <w:p>
      <w:pPr>
        <w:pStyle w:val="BodyText"/>
      </w:pPr>
      <w:r>
        <w:rPr>
          <w:bCs/>
          <w:b/>
        </w:rPr>
        <w:t xml:space="preserve">Reviewed By:</w:t>
      </w:r>
    </w:p>
    <w:p>
      <w:pPr>
        <w:pStyle w:val="BodyText"/>
      </w:pPr>
      <w:r>
        <w:t xml:space="preserve">Dr. Ahmed Al-Mansoori</w:t>
      </w:r>
      <w:r>
        <w:br/>
      </w:r>
      <w:r>
        <w:t xml:space="preserve">Senior Academic Reviewer</w:t>
      </w:r>
      <w:r>
        <w:br/>
      </w:r>
      <w:r>
        <w:t xml:space="preserve">Faculty of Business</w:t>
      </w:r>
    </w:p>
    <w:p>
      <w:pPr>
        <w:pStyle w:val="BodyText"/>
      </w:pPr>
      <w:r>
        <w:rPr>
          <w:bCs/>
          <w:b/>
        </w:rPr>
        <w:t xml:space="preserve">Approved By:</w:t>
      </w:r>
    </w:p>
    <w:p>
      <w:pPr>
        <w:pStyle w:val="BodyText"/>
      </w:pPr>
      <w:r>
        <w:t xml:space="preserve">Prof. Sarah Johnson</w:t>
      </w:r>
      <w:r>
        <w:br/>
      </w:r>
      <w:r>
        <w:t xml:space="preserve">Dean of Academic Affairs</w:t>
      </w:r>
      <w:r>
        <w:br/>
      </w:r>
      <w:r>
        <w:t xml:space="preserve">University of Dubai</w:t>
      </w:r>
    </w:p>
    <w:p>
      <w:pPr>
        <w:pStyle w:val="BodyText"/>
      </w:pPr>
      <w:r>
        <w:t xml:space="preserve">This Peer Review Report is confidential and intended solely for the use of the named institution and individuals. It is prepared in accordance with the academic evaluation standards of the United Arab Emirates, Dubai.</w:t>
      </w:r>
    </w:p>
    <w:p>
      <w:pPr>
        <w:pStyle w:val="BodyText"/>
      </w:pPr>
      <w:r>
        <w:t xml:space="preserve">© 2023 Academic Quality Assurance Office.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Professor Evaluation</dc:title>
  <dc:creator/>
  <dc:language>en</dc:language>
  <cp:keywords/>
  <dcterms:created xsi:type="dcterms:W3CDTF">2026-10-10T06:31:12Z</dcterms:created>
  <dcterms:modified xsi:type="dcterms:W3CDTF">2026-10-10T06:31:12Z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