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Psychiatrist</w:t>
      </w:r>
    </w:p>
    <w:p>
      <w:pPr>
        <w:pStyle w:val="BodyText"/>
      </w:pPr>
      <w:r>
        <w:rPr>
          <w:bCs/>
          <w:b/>
        </w:rPr>
        <w:t xml:space="preserve">Location:</w:t>
      </w:r>
      <w:r>
        <w:t xml:space="preserve"> </w:t>
      </w:r>
      <w:r>
        <w:t xml:space="preserve">Australia Sydney</w:t>
      </w:r>
    </w:p>
    <w:p>
      <w:pPr>
        <w:pStyle w:val="BodyText"/>
      </w:pPr>
      <w:r>
        <w:rPr>
          <w:bCs/>
          <w:b/>
        </w:rPr>
        <w:t xml:space="preserve">Date of Report:</w:t>
      </w:r>
      <w:r>
        <w:t xml:space="preserve"> </w:t>
      </w:r>
      <w:r>
        <w:t xml:space="preserve">October 26, 2023</w:t>
      </w:r>
    </w:p>
    <w:p>
      <w:pPr>
        <w:pStyle w:val="BodyText"/>
      </w:pPr>
      <w:r>
        <w:rPr>
          <w:bCs/>
          <w:b/>
        </w:rPr>
        <w:t xml:space="preserve">Reviewing Body:</w:t>
      </w:r>
      <w:r>
        <w:t xml:space="preserve"> </w:t>
      </w:r>
      <w:r>
        <w:t xml:space="preserve">Independent Medical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conduct, and professional standards of a registered Psychiatrist practicing within the metropolitan area of Australia Sydney. The review was initiated following a routine quality assurance protocol mandated by local healthcare governance frameworks. The primary objective is to ensure that the Psychiatrist’s practice aligns with the rigorous standards set forth by the Royal Australian and New Zealand College of Psychiatrists (RANZCP) and the Medical Board of Australia.</w:t>
      </w:r>
    </w:p>
    <w:p>
      <w:pPr>
        <w:pStyle w:val="BodyText"/>
      </w:pPr>
      <w:r>
        <w:t xml:space="preserve">The scope of this review encompasses a comprehensive analysis of patient case files, adherence to clinical guidelines, prescribing practices, documentation quality, and patient feedback. Given the high density of mental health services in Australia Sydney, maintaining exceptional standards of psychiatric care is paramount to public safety and patient well-being. This report aims to provide an objective, evidence-based assessment of the Psychiatrist’s current standing and to identify any areas requiring professional development or remediation.</w:t>
      </w:r>
    </w:p>
    <w:bookmarkEnd w:id="21"/>
    <w:bookmarkStart w:id="22" w:name="methodology"/>
    <w:p>
      <w:pPr>
        <w:pStyle w:val="Heading2"/>
      </w:pPr>
      <w:r>
        <w:t xml:space="preserve">2. Methodology</w:t>
      </w:r>
    </w:p>
    <w:p>
      <w:pPr>
        <w:pStyle w:val="FirstParagraph"/>
      </w:pPr>
      <w:r>
        <w:t xml:space="preserve">The Peer Review Report was conducted using a multi-faceted approach to ensure thoroughness and accuracy. The methodology included:</w:t>
      </w:r>
    </w:p>
    <w:p>
      <w:pPr>
        <w:numPr>
          <w:ilvl w:val="0"/>
          <w:numId w:val="1001"/>
        </w:numPr>
        <w:pStyle w:val="Compact"/>
      </w:pPr>
      <w:r>
        <w:rPr>
          <w:bCs/>
          <w:b/>
        </w:rPr>
        <w:t xml:space="preserve">Case File Audit:</w:t>
      </w:r>
      <w:r>
        <w:t xml:space="preserve"> </w:t>
      </w:r>
      <w:r>
        <w:t xml:space="preserve">A random selection of 50 patient records was reviewed to assess diagnostic accuracy, treatment planning, and follow-up protocols.</w:t>
      </w:r>
    </w:p>
    <w:p>
      <w:pPr>
        <w:numPr>
          <w:ilvl w:val="0"/>
          <w:numId w:val="1001"/>
        </w:numPr>
        <w:pStyle w:val="Compact"/>
      </w:pPr>
      <w:r>
        <w:rPr>
          <w:bCs/>
          <w:b/>
        </w:rPr>
        <w:t xml:space="preserve">Prescribing Analysis:</w:t>
      </w:r>
      <w:r>
        <w:t xml:space="preserve"> </w:t>
      </w:r>
      <w:r>
        <w:t xml:space="preserve">Examination of medication prescriptions to ensure compliance with the Australian Prescriber and Therapeutic Guidelines.</w:t>
      </w:r>
    </w:p>
    <w:p>
      <w:pPr>
        <w:numPr>
          <w:ilvl w:val="0"/>
          <w:numId w:val="1001"/>
        </w:numPr>
        <w:pStyle w:val="Compact"/>
      </w:pPr>
      <w:r>
        <w:rPr>
          <w:bCs/>
          <w:b/>
        </w:rPr>
        <w:t xml:space="preserve">Stakeholder Interviews:</w:t>
      </w:r>
      <w:r>
        <w:t xml:space="preserve"> </w:t>
      </w:r>
      <w:r>
        <w:t xml:space="preserve">Confidential interviews with referring general practitioners, allied health professionals, and nursing staff within the Australia Sydney healthcare network.</w:t>
      </w:r>
    </w:p>
    <w:p>
      <w:pPr>
        <w:numPr>
          <w:ilvl w:val="0"/>
          <w:numId w:val="1001"/>
        </w:numPr>
        <w:pStyle w:val="Compact"/>
      </w:pPr>
      <w:r>
        <w:rPr>
          <w:bCs/>
          <w:b/>
        </w:rPr>
        <w:t xml:space="preserve">Patient Feedback Review:</w:t>
      </w:r>
      <w:r>
        <w:t xml:space="preserve"> </w:t>
      </w:r>
      <w:r>
        <w:t xml:space="preserve">Analysis of anonymized patient satisfaction surveys and complaint logs.</w:t>
      </w:r>
    </w:p>
    <w:p>
      <w:pPr>
        <w:pStyle w:val="FirstParagraph"/>
      </w:pPr>
      <w:r>
        <w:t xml:space="preserve">All data was handled in strict accordance with the Privacy Act 1988 (Cth) and the Health Records and Information Privacy Act 2002 (NSW), ensuring patient confidentiality was maintained throughout the review process.</w:t>
      </w:r>
    </w:p>
    <w:bookmarkEnd w:id="22"/>
    <w:bookmarkStart w:id="23" w:name="X6f6d8d8ffcf3aa95c70f273d3a05cc874ff8c55"/>
    <w:p>
      <w:pPr>
        <w:pStyle w:val="Heading2"/>
      </w:pPr>
      <w:r>
        <w:t xml:space="preserve">3. Clinical Competency and Diagnostic Accuracy</w:t>
      </w:r>
    </w:p>
    <w:p>
      <w:pPr>
        <w:pStyle w:val="FirstParagraph"/>
      </w:pPr>
      <w:r>
        <w:t xml:space="preserve">The review of clinical records indicates that the Psychiatrist demonstrates a high level of diagnostic accuracy. The differential diagnoses presented in the case files are thorough, well-reasoned, and consistent with current psychiatric literature. The Psychiatrist shows a strong capability in managing complex cases, including those involving comorbid substance use disorders and personality disorders, which are prevalent in the Australia Sydney demographic.</w:t>
      </w:r>
    </w:p>
    <w:p>
      <w:pPr>
        <w:pStyle w:val="BodyText"/>
      </w:pPr>
      <w:r>
        <w:t xml:space="preserve">Treatment plans are individualized and holistic, often incorporating psychotherapy, pharmacotherapy, and social support interventions. The Psychiatrist’s approach aligns with the biopsychosocial model, which is the gold standard in modern psychiatric practice. However, the review noted that in approximately 10% of cases, the documentation of risk assessments could be more detailed, particularly regarding suicide risk and self-harm potential.</w:t>
      </w:r>
    </w:p>
    <w:bookmarkEnd w:id="23"/>
    <w:bookmarkStart w:id="24" w:name="X25d00986999069b0e2fd32ecfdcaca00c751ce3"/>
    <w:p>
      <w:pPr>
        <w:pStyle w:val="Heading2"/>
      </w:pPr>
      <w:r>
        <w:t xml:space="preserve">4. Prescribing Practices and Medication Management</w:t>
      </w:r>
    </w:p>
    <w:p>
      <w:pPr>
        <w:pStyle w:val="FirstParagraph"/>
      </w:pPr>
      <w:r>
        <w:t xml:space="preserve">Medication management is a critical component of psychiatric care. The Peer Review Report found that the Psychiatrist’s prescribing practices are generally safe and appropriate. There is evidence of regular monitoring of side effects and therapeutic efficacy. The Psychiatrist adheres to the guidelines provided by the Therapeutic Goods Administration (TGA) and demonstrates caution when prescribing controlled substances.</w:t>
      </w:r>
    </w:p>
    <w:p>
      <w:pPr>
        <w:pStyle w:val="BodyText"/>
      </w:pPr>
      <w:r>
        <w:t xml:space="preserve">One area of note is the use of polypharmacy. While sometimes necessary for treatment-resistant conditions, the review suggests that the Psychiatrist should further document the rationale for multiple concurrent medications to ensure clarity for other healthcare providers involved in the patient’s care. This is particularly important in the collaborative environment of Australia Sydney, where patients may interact with multiple specialists.</w:t>
      </w:r>
    </w:p>
    <w:bookmarkEnd w:id="24"/>
    <w:bookmarkStart w:id="25" w:name="professional-conduct-and-communication"/>
    <w:p>
      <w:pPr>
        <w:pStyle w:val="Heading2"/>
      </w:pPr>
      <w:r>
        <w:t xml:space="preserve">5. Professional Conduct and Communication</w:t>
      </w:r>
    </w:p>
    <w:p>
      <w:pPr>
        <w:pStyle w:val="FirstParagraph"/>
      </w:pPr>
      <w:r>
        <w:t xml:space="preserve">Feedback from colleagues and stakeholders highlights the Psychiatrist’s professionalism and collaborative attitude. The Psychiatrist is regarded as approachable and willing to consult with peers on complex cases. Communication with patients is described as empathetic and clear, fostering a therapeutic alliance that is essential for effective mental health treatment.</w:t>
      </w:r>
    </w:p>
    <w:p>
      <w:pPr>
        <w:pStyle w:val="BodyText"/>
      </w:pPr>
      <w:r>
        <w:t xml:space="preserve">The Psychiatrist maintains a respectful and inclusive practice, sensitive to the diverse cultural backgrounds of patients in Australia Sydney. This cultural competence is vital in a multicultural city and contributes positively to patient outcomes. However, the review identified a need for improved timeliness in responding to referrals from general practitioners, which can sometimes delay patient access to care.</w:t>
      </w:r>
    </w:p>
    <w:bookmarkEnd w:id="25"/>
    <w:bookmarkStart w:id="26" w:name="documentation-and-record-keeping"/>
    <w:p>
      <w:pPr>
        <w:pStyle w:val="Heading2"/>
      </w:pPr>
      <w:r>
        <w:t xml:space="preserve">6. Documentation and Record Keeping</w:t>
      </w:r>
    </w:p>
    <w:p>
      <w:pPr>
        <w:pStyle w:val="FirstParagraph"/>
      </w:pPr>
      <w:r>
        <w:t xml:space="preserve">Medical records are generally well-organized and contain essential clinical information. The Psychiatrist documents consultations, treatment decisions, and patient progress notes adequately. However, the Peer Review Report recommends enhancing the specificity of progress notes to better reflect changes in the patient’s condition and response to treatment over time. This will improve continuity of care and provide a clearer audit trail for future reference.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Risk Assessment Documentation:</w:t>
      </w:r>
      <w:r>
        <w:t xml:space="preserve"> </w:t>
      </w:r>
      <w:r>
        <w:t xml:space="preserve">Provide additional training or resources on documenting comprehensive risk assessments, particularly for high-risk patients.</w:t>
      </w:r>
    </w:p>
    <w:p>
      <w:pPr>
        <w:numPr>
          <w:ilvl w:val="0"/>
          <w:numId w:val="1002"/>
        </w:numPr>
        <w:pStyle w:val="Compact"/>
      </w:pPr>
      <w:r>
        <w:rPr>
          <w:bCs/>
          <w:b/>
        </w:rPr>
        <w:t xml:space="preserve">Clarify Polypharmacy Rationale:</w:t>
      </w:r>
      <w:r>
        <w:t xml:space="preserve"> </w:t>
      </w:r>
      <w:r>
        <w:t xml:space="preserve">Ensure that all instances of polypharmacy are clearly justified in the patient’s medical record.</w:t>
      </w:r>
    </w:p>
    <w:p>
      <w:pPr>
        <w:numPr>
          <w:ilvl w:val="0"/>
          <w:numId w:val="1002"/>
        </w:numPr>
        <w:pStyle w:val="Compact"/>
      </w:pPr>
      <w:r>
        <w:rPr>
          <w:bCs/>
          <w:b/>
        </w:rPr>
        <w:t xml:space="preserve">Improve Referral Response Times:</w:t>
      </w:r>
      <w:r>
        <w:t xml:space="preserve"> </w:t>
      </w:r>
      <w:r>
        <w:t xml:space="preserve">Implement administrative strategies to reduce the time taken to respond to referrals from general practitioners.</w:t>
      </w:r>
    </w:p>
    <w:p>
      <w:pPr>
        <w:numPr>
          <w:ilvl w:val="0"/>
          <w:numId w:val="1002"/>
        </w:numPr>
        <w:pStyle w:val="Compact"/>
      </w:pPr>
      <w:r>
        <w:rPr>
          <w:bCs/>
          <w:b/>
        </w:rPr>
        <w:t xml:space="preserve">Continuous Professional Development:</w:t>
      </w:r>
      <w:r>
        <w:t xml:space="preserve"> </w:t>
      </w:r>
      <w:r>
        <w:t xml:space="preserve">Engage in ongoing education focused on emerging treatments and best practices in psychiatry, as endorsed by the RANZCP.</w:t>
      </w:r>
    </w:p>
    <w:bookmarkEnd w:id="27"/>
    <w:bookmarkStart w:id="28" w:name="conclusion"/>
    <w:p>
      <w:pPr>
        <w:pStyle w:val="Heading2"/>
      </w:pPr>
      <w:r>
        <w:t xml:space="preserve">8. Conclusion</w:t>
      </w:r>
    </w:p>
    <w:p>
      <w:pPr>
        <w:pStyle w:val="FirstParagraph"/>
      </w:pPr>
      <w:r>
        <w:t xml:space="preserve">In conclusion, this Peer Review Report affirms that the Psychiatrist practicing in Australia Sydney maintains a high standard of clinical care and professional conduct. The Psychiatrist is competent, ethical, and committed to patient well-being. The identified areas for improvement are minor and can be addressed through targeted professional development and administrative adjustments. Overall, the Psychiatrist’s practice is deemed safe and beneficial to the community, contributing positively to the mental health landscape of Australia Sydney.</w:t>
      </w:r>
    </w:p>
    <w:bookmarkEnd w:id="28"/>
    <w:p>
      <w:pPr>
        <w:pStyle w:val="BodyText"/>
      </w:pPr>
      <w:r>
        <w:rPr>
          <w:bCs/>
          <w:b/>
        </w:rPr>
        <w:t xml:space="preserve">Prepared by:</w:t>
      </w:r>
    </w:p>
    <w:p>
      <w:pPr>
        <w:pStyle w:val="BodyText"/>
      </w:pPr>
      <w:r>
        <w:t xml:space="preserve">Dr. Jane Smith, MBBS, FRANZCP</w:t>
      </w:r>
    </w:p>
    <w:p>
      <w:pPr>
        <w:pStyle w:val="BodyText"/>
      </w:pPr>
      <w:r>
        <w:t xml:space="preserve">Lead Peer Reviewer</w:t>
      </w:r>
    </w:p>
    <w:p>
      <w:pPr>
        <w:pStyle w:val="BodyText"/>
      </w:pPr>
      <w:r>
        <w:t xml:space="preserve">Independent Medical Peer Review Panel</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Australia Sydney</dc:title>
  <dc:creator/>
  <dc:language>en</dc:language>
  <cp:keywords/>
  <dcterms:created xsi:type="dcterms:W3CDTF">2026-10-10T06:31:10Z</dcterms:created>
  <dcterms:modified xsi:type="dcterms:W3CDTF">2026-10-10T06:31:10Z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