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Professional Competency Assessment for Medical Practitioners</w:t>
      </w:r>
    </w:p>
    <w:p>
      <w:pPr>
        <w:pStyle w:val="BodyText"/>
      </w:pPr>
      <w:r>
        <w:rPr>
          <w:bCs/>
          <w:b/>
        </w:rPr>
        <w:t xml:space="preserve">Subject Specialty:</w:t>
      </w:r>
      <w:r>
        <w:t xml:space="preserve"> </w:t>
      </w:r>
      <w:r>
        <w:t xml:space="preserve">Psychiatry</w:t>
      </w:r>
    </w:p>
    <w:p>
      <w:pPr>
        <w:pStyle w:val="BodyText"/>
      </w:pPr>
      <w:r>
        <w:rPr>
          <w:bCs/>
          <w:b/>
        </w:rPr>
        <w:t xml:space="preserve">Location:</w:t>
      </w:r>
      <w:r>
        <w:t xml:space="preserve"> </w:t>
      </w:r>
      <w:r>
        <w:t xml:space="preserve">Japan Tokyo</w:t>
      </w:r>
    </w:p>
    <w:p>
      <w:pPr>
        <w:pStyle w:val="BodyText"/>
      </w:pPr>
      <w:r>
        <w:rPr>
          <w:bCs/>
          <w:b/>
        </w:rPr>
        <w:t xml:space="preserve">Review Date:</w:t>
      </w:r>
      <w:r>
        <w:t xml:space="preserve"> </w:t>
      </w:r>
      <w:r>
        <w:t xml:space="preserve">October 24, 2023</w:t>
      </w:r>
    </w:p>
    <w:p>
      <w:pPr>
        <w:pStyle w:val="BodyText"/>
      </w:pPr>
      <w:r>
        <w:rPr>
          <w:bCs/>
          <w:b/>
        </w:rPr>
        <w:t xml:space="preserve">Review ID:</w:t>
      </w:r>
      <w:r>
        <w:t xml:space="preserve"> </w:t>
      </w:r>
      <w:r>
        <w:t xml:space="preserve">JPN-TKY-PSY-2023-089</w:t>
      </w:r>
    </w:p>
    <w:p>
      <w:pPr>
        <w:pStyle w:val="BodyText"/>
      </w:pPr>
      <w:r>
        <w:rPr>
          <w:bCs/>
          <w:b/>
        </w:rPr>
        <w:t xml:space="preserve">Reviewer Panel:</w:t>
      </w:r>
      <w:r>
        <w:t xml:space="preserve"> </w:t>
      </w:r>
      <w:r>
        <w:t xml:space="preserve">Tokyo Medical Association Board</w:t>
      </w:r>
    </w:p>
    <w:p>
      <w:pPr>
        <w:pStyle w:val="BodyText"/>
      </w:pP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comprehensive evaluation of a practicing</w:t>
      </w:r>
      <w:r>
        <w:t xml:space="preserve"> </w:t>
      </w:r>
      <w:r>
        <w:rPr>
          <w:bCs/>
          <w:b/>
        </w:rPr>
        <w:t xml:space="preserve">Psychiatrist</w:t>
      </w:r>
      <w:r>
        <w:t xml:space="preserve"> </w:t>
      </w:r>
      <w:r>
        <w:t xml:space="preserve">operating within the metropolitan region of</w:t>
      </w:r>
      <w:r>
        <w:t xml:space="preserve"> </w:t>
      </w:r>
      <w:r>
        <w:rPr>
          <w:bCs/>
          <w:b/>
        </w:rPr>
        <w:t xml:space="preserve">Japan Tokyo</w:t>
      </w:r>
      <w:r>
        <w:t xml:space="preserve">. The review was conducted in accordance with the standards set by the Japanese Medical Association and the Ministry of Health, Labour and Welfare. The primary objective was to assess clinical competence, adherence to ethical guidelines, patient safety protocols, and integration of modern psychiatric practices within the unique cultural and regulatory context of Tokyo.</w:t>
      </w:r>
    </w:p>
    <w:p>
      <w:pPr>
        <w:pStyle w:val="BodyText"/>
      </w:pPr>
      <w:r>
        <w:t xml:space="preserve">The subject demonstrated a high level of proficiency in diagnostic accuracy and pharmacological management. However, the review identified specific areas for improvement regarding cross-cultural communication strategies and digital health record compliance, which are critical in the fast-paced environment of Tokyo's healthcare system.</w:t>
      </w:r>
    </w:p>
    <w:bookmarkEnd w:id="21"/>
    <w:bookmarkStart w:id="24" w:name="X6f6d8d8ffcf3aa95c70f273d3a05cc874ff8c55"/>
    <w:p>
      <w:pPr>
        <w:pStyle w:val="Heading2"/>
      </w:pPr>
      <w:r>
        <w:t xml:space="preserve">2. Clinical Competency and Diagnostic Accuracy</w:t>
      </w:r>
    </w:p>
    <w:p>
      <w:pPr>
        <w:pStyle w:val="FirstParagraph"/>
      </w:pPr>
      <w:r>
        <w:t xml:space="preserve">The core of this</w:t>
      </w:r>
      <w:r>
        <w:t xml:space="preserve"> </w:t>
      </w:r>
      <w:r>
        <w:rPr>
          <w:bCs/>
          <w:b/>
        </w:rPr>
        <w:t xml:space="preserve">Peer Review Report</w:t>
      </w:r>
      <w:r>
        <w:t xml:space="preserve"> </w:t>
      </w:r>
      <w:r>
        <w:t xml:space="preserve">focuses on the clinical capabilities of the</w:t>
      </w:r>
      <w:r>
        <w:t xml:space="preserve"> </w:t>
      </w:r>
      <w:r>
        <w:rPr>
          <w:bCs/>
          <w:b/>
        </w:rPr>
        <w:t xml:space="preserve">Psychiatrist</w:t>
      </w:r>
      <w:r>
        <w:t xml:space="preserve">. In the context of</w:t>
      </w:r>
      <w:r>
        <w:t xml:space="preserve"> </w:t>
      </w:r>
      <w:r>
        <w:rPr>
          <w:bCs/>
          <w:b/>
        </w:rPr>
        <w:t xml:space="preserve">Japan Tokyo</w:t>
      </w:r>
      <w:r>
        <w:t xml:space="preserve">, where patient volumes are high and cases often involve complex psychosocial stressors related to urban living, diagnostic precision is paramount.</w:t>
      </w:r>
    </w:p>
    <w:bookmarkStart w:id="22" w:name="diagnostic-methodology"/>
    <w:p>
      <w:pPr>
        <w:pStyle w:val="Heading3"/>
      </w:pPr>
      <w:r>
        <w:t xml:space="preserve">2.1 Diagnostic Methodology</w:t>
      </w:r>
    </w:p>
    <w:p>
      <w:pPr>
        <w:pStyle w:val="FirstParagraph"/>
      </w:pPr>
      <w:r>
        <w:t xml:space="preserve">The reviewed practitioner consistently utilizes the ICD-11 (International Classification of Diseases) and DSM-5-TR criteria, aligning with international standards while respecting local Japanese medical norms. Case file analysis revealed a 94% concordance rate with secondary expert opinions on complex diagnoses, including mood disorders, anxiety disorders, and neurocognitive conditions.</w:t>
      </w:r>
    </w:p>
    <w:bookmarkEnd w:id="22"/>
    <w:bookmarkStart w:id="23" w:name="treatment-planning"/>
    <w:p>
      <w:pPr>
        <w:pStyle w:val="Heading3"/>
      </w:pPr>
      <w:r>
        <w:t xml:space="preserve">2.2 Treatment Planning</w:t>
      </w:r>
    </w:p>
    <w:p>
      <w:pPr>
        <w:pStyle w:val="FirstParagraph"/>
      </w:pPr>
      <w:r>
        <w:t xml:space="preserve">Treatment plans were found to be evidence-based and individualized. The</w:t>
      </w:r>
      <w:r>
        <w:t xml:space="preserve"> </w:t>
      </w:r>
      <w:r>
        <w:rPr>
          <w:bCs/>
          <w:b/>
        </w:rPr>
        <w:t xml:space="preserve">Psychiatrist</w:t>
      </w:r>
      <w:r>
        <w:t xml:space="preserve"> </w:t>
      </w:r>
      <w:r>
        <w:t xml:space="preserve">effectively integrates pharmacotherapy with psychotherapeutic interventions. Notably, the practitioner shows a strong understanding of the specific mental health challenges prevalent in Tokyo, such as workplace-related stress (Karoshi/Karoshi-ken) and social isolation (Hikikomori), tailoring interventions to address these culturally specific stressors.</w:t>
      </w:r>
    </w:p>
    <w:bookmarkEnd w:id="23"/>
    <w:bookmarkEnd w:id="24"/>
    <w:bookmarkStart w:id="25" w:name="X4ce211acb8b02978b825403f312638d11fa1afd"/>
    <w:p>
      <w:pPr>
        <w:pStyle w:val="Heading2"/>
      </w:pPr>
      <w:r>
        <w:t xml:space="preserve">3. Ethical Standards and Professional Conduct</w:t>
      </w:r>
    </w:p>
    <w:p>
      <w:pPr>
        <w:pStyle w:val="FirstParagraph"/>
      </w:pPr>
      <w:r>
        <w:t xml:space="preserve">Adherence to ethical guidelines is a critical component of any</w:t>
      </w:r>
      <w:r>
        <w:t xml:space="preserve"> </w:t>
      </w:r>
      <w:r>
        <w:rPr>
          <w:bCs/>
          <w:b/>
        </w:rPr>
        <w:t xml:space="preserve">Peer Review Report</w:t>
      </w:r>
      <w:r>
        <w:t xml:space="preserve">. In</w:t>
      </w:r>
      <w:r>
        <w:t xml:space="preserve"> </w:t>
      </w:r>
      <w:r>
        <w:rPr>
          <w:bCs/>
          <w:b/>
        </w:rPr>
        <w:t xml:space="preserve">Japan Tokyo</w:t>
      </w:r>
      <w:r>
        <w:t xml:space="preserve">, the concept of "Wa" (harmony) and patient confidentiality are deeply ingrained in the doctor-patient relationship.</w:t>
      </w:r>
    </w:p>
    <w:p>
      <w:pPr>
        <w:numPr>
          <w:ilvl w:val="0"/>
          <w:numId w:val="1001"/>
        </w:numPr>
        <w:pStyle w:val="Compact"/>
      </w:pPr>
      <w:r>
        <w:rPr>
          <w:bCs/>
          <w:b/>
        </w:rPr>
        <w:t xml:space="preserve">Confidentiality:</w:t>
      </w:r>
      <w:r>
        <w:t xml:space="preserve"> </w:t>
      </w:r>
      <w:r>
        <w:t xml:space="preserve">The</w:t>
      </w:r>
      <w:r>
        <w:t xml:space="preserve"> </w:t>
      </w:r>
      <w:r>
        <w:rPr>
          <w:bCs/>
          <w:b/>
        </w:rPr>
        <w:t xml:space="preserve">Psychiatrist</w:t>
      </w:r>
      <w:r>
        <w:t xml:space="preserve"> </w:t>
      </w:r>
      <w:r>
        <w:t xml:space="preserve">maintains strict confidentiality, complying with the Japanese Medical Practitioners Act. No breaches of patient privacy were identified during the audit of communication logs and file access records.</w:t>
      </w:r>
    </w:p>
    <w:p>
      <w:pPr>
        <w:numPr>
          <w:ilvl w:val="0"/>
          <w:numId w:val="1001"/>
        </w:numPr>
        <w:pStyle w:val="Compact"/>
      </w:pPr>
      <w:r>
        <w:rPr>
          <w:bCs/>
          <w:b/>
        </w:rPr>
        <w:t xml:space="preserve">Informed Consent:</w:t>
      </w:r>
      <w:r>
        <w:t xml:space="preserve"> </w:t>
      </w:r>
      <w:r>
        <w:t xml:space="preserve">Documentation of informed consent is thorough. The practitioner ensures that patients and their families (where appropriate in the Japanese cultural context) fully understand treatment options, risks, and benefits.</w:t>
      </w:r>
    </w:p>
    <w:p>
      <w:pPr>
        <w:numPr>
          <w:ilvl w:val="0"/>
          <w:numId w:val="1001"/>
        </w:numPr>
        <w:pStyle w:val="Compact"/>
      </w:pPr>
      <w:r>
        <w:rPr>
          <w:bCs/>
          <w:b/>
        </w:rPr>
        <w:t xml:space="preserve">Boundary Management:</w:t>
      </w:r>
      <w:r>
        <w:t xml:space="preserve"> </w:t>
      </w:r>
      <w:r>
        <w:t xml:space="preserve">Professional boundaries are maintained appropriately. The review found no evidence of dual relationships or conflicts of interest.</w:t>
      </w:r>
    </w:p>
    <w:bookmarkEnd w:id="25"/>
    <w:bookmarkStart w:id="28" w:name="patient-safety-and-risk-management"/>
    <w:p>
      <w:pPr>
        <w:pStyle w:val="Heading2"/>
      </w:pPr>
      <w:r>
        <w:t xml:space="preserve">4. Patient Safety and Risk Management</w:t>
      </w:r>
    </w:p>
    <w:p>
      <w:pPr>
        <w:pStyle w:val="FirstParagraph"/>
      </w:pPr>
      <w:r>
        <w:t xml:space="preserve">Patient safety is the highest priority in this</w:t>
      </w:r>
      <w:r>
        <w:t xml:space="preserve"> </w:t>
      </w:r>
      <w:r>
        <w:rPr>
          <w:bCs/>
          <w:b/>
        </w:rPr>
        <w:t xml:space="preserve">Peer Review Report</w:t>
      </w:r>
      <w:r>
        <w:t xml:space="preserve">. The assessment of the</w:t>
      </w:r>
      <w:r>
        <w:t xml:space="preserve"> </w:t>
      </w:r>
      <w:r>
        <w:rPr>
          <w:bCs/>
          <w:b/>
        </w:rPr>
        <w:t xml:space="preserve">Psychiatrist</w:t>
      </w:r>
      <w:r>
        <w:t xml:space="preserve">'s practice in</w:t>
      </w:r>
      <w:r>
        <w:t xml:space="preserve"> </w:t>
      </w:r>
      <w:r>
        <w:rPr>
          <w:bCs/>
          <w:b/>
        </w:rPr>
        <w:t xml:space="preserve">Japan Tokyo</w:t>
      </w:r>
      <w:r>
        <w:t xml:space="preserve"> </w:t>
      </w:r>
      <w:r>
        <w:t xml:space="preserve">highlights robust risk management strategies.</w:t>
      </w:r>
    </w:p>
    <w:bookmarkStart w:id="26" w:name="suicide-risk-assessment"/>
    <w:p>
      <w:pPr>
        <w:pStyle w:val="Heading3"/>
      </w:pPr>
      <w:r>
        <w:t xml:space="preserve">4.1 Suicide Risk Assessment</w:t>
      </w:r>
    </w:p>
    <w:p>
      <w:pPr>
        <w:pStyle w:val="FirstParagraph"/>
      </w:pPr>
      <w:r>
        <w:t xml:space="preserve">Given the national focus on suicide prevention in Japan, the practitioner's protocol for suicide risk assessment is exemplary. Regular, documented risk evaluations are conducted for high-risk patients, and clear crisis intervention plans are established in collaboration with local Tokyo emergency services and support networks.</w:t>
      </w:r>
    </w:p>
    <w:bookmarkEnd w:id="26"/>
    <w:bookmarkStart w:id="27" w:name="medication-management"/>
    <w:p>
      <w:pPr>
        <w:pStyle w:val="Heading3"/>
      </w:pPr>
      <w:r>
        <w:t xml:space="preserve">4.2 Medication Management</w:t>
      </w:r>
    </w:p>
    <w:p>
      <w:pPr>
        <w:pStyle w:val="FirstParagraph"/>
      </w:pPr>
      <w:r>
        <w:t xml:space="preserve">The review of prescription records indicates careful monitoring of psychotropic medications. The</w:t>
      </w:r>
      <w:r>
        <w:t xml:space="preserve"> </w:t>
      </w:r>
      <w:r>
        <w:rPr>
          <w:bCs/>
          <w:b/>
        </w:rPr>
        <w:t xml:space="preserve">Psychiatrist</w:t>
      </w:r>
      <w:r>
        <w:t xml:space="preserve"> </w:t>
      </w:r>
      <w:r>
        <w:t xml:space="preserve">adheres to guidelines regarding the use of controlled substances, ensuring regular follow-ups to monitor for side effects, dependency, and efficacy. This is particularly important in Tokyo, where polypharmacy can be a concern in geriatric psychiatry.</w:t>
      </w:r>
    </w:p>
    <w:bookmarkEnd w:id="27"/>
    <w:bookmarkEnd w:id="28"/>
    <w:bookmarkStart w:id="29" w:name="communication-and-cultural-competence"/>
    <w:p>
      <w:pPr>
        <w:pStyle w:val="Heading2"/>
      </w:pPr>
      <w:r>
        <w:t xml:space="preserve">5. Communication and Cultural Competence</w:t>
      </w:r>
    </w:p>
    <w:p>
      <w:pPr>
        <w:pStyle w:val="FirstParagraph"/>
      </w:pPr>
      <w:r>
        <w:t xml:space="preserve">Effective communication is essential for a</w:t>
      </w:r>
      <w:r>
        <w:t xml:space="preserve"> </w:t>
      </w:r>
      <w:r>
        <w:rPr>
          <w:bCs/>
          <w:b/>
        </w:rPr>
        <w:t xml:space="preserve">Psychiatrist</w:t>
      </w:r>
      <w:r>
        <w:t xml:space="preserve"> </w:t>
      </w:r>
      <w:r>
        <w:t xml:space="preserve">in</w:t>
      </w:r>
      <w:r>
        <w:t xml:space="preserve"> </w:t>
      </w:r>
      <w:r>
        <w:rPr>
          <w:bCs/>
          <w:b/>
        </w:rPr>
        <w:t xml:space="preserve">Japan Tokyo</w:t>
      </w:r>
      <w:r>
        <w:t xml:space="preserve">. This</w:t>
      </w:r>
      <w:r>
        <w:t xml:space="preserve"> </w:t>
      </w:r>
      <w:r>
        <w:rPr>
          <w:bCs/>
          <w:b/>
        </w:rPr>
        <w:t xml:space="preserve">Peer Review Report</w:t>
      </w:r>
      <w:r>
        <w:t xml:space="preserve"> </w:t>
      </w:r>
      <w:r>
        <w:t xml:space="preserve">evaluates the practitioner's ability to communicate with a diverse patient population, including Japanese nationals, long-term residents, and international expatriates.</w:t>
      </w:r>
    </w:p>
    <w:p>
      <w:pPr>
        <w:numPr>
          <w:ilvl w:val="0"/>
          <w:numId w:val="1002"/>
        </w:numPr>
        <w:pStyle w:val="Compact"/>
      </w:pPr>
      <w:r>
        <w:rPr>
          <w:bCs/>
          <w:b/>
        </w:rPr>
        <w:t xml:space="preserve">Language Proficiency:</w:t>
      </w:r>
      <w:r>
        <w:t xml:space="preserve"> </w:t>
      </w:r>
      <w:r>
        <w:t xml:space="preserve">The practitioner demonstrates excellent proficiency in Japanese, using appropriate honorifics and terminology that fosters trust. For international patients, the use of certified medical interpreters is consistently documented.</w:t>
      </w:r>
    </w:p>
    <w:p>
      <w:pPr>
        <w:numPr>
          <w:ilvl w:val="0"/>
          <w:numId w:val="1002"/>
        </w:numPr>
        <w:pStyle w:val="Compact"/>
      </w:pPr>
      <w:r>
        <w:rPr>
          <w:bCs/>
          <w:b/>
        </w:rPr>
        <w:t xml:space="preserve">Cultural Sensitivity:</w:t>
      </w:r>
      <w:r>
        <w:t xml:space="preserve"> </w:t>
      </w:r>
      <w:r>
        <w:t xml:space="preserve">The</w:t>
      </w:r>
      <w:r>
        <w:t xml:space="preserve"> </w:t>
      </w:r>
      <w:r>
        <w:rPr>
          <w:bCs/>
          <w:b/>
        </w:rPr>
        <w:t xml:space="preserve">Psychiatrist</w:t>
      </w:r>
      <w:r>
        <w:t xml:space="preserve"> </w:t>
      </w:r>
      <w:r>
        <w:t xml:space="preserve">shows a nuanced understanding of Japanese cultural norms, such as the tendency to somaticize psychological distress. This cultural competence allows for more accurate diagnosis and better patient engagement.</w:t>
      </w:r>
    </w:p>
    <w:p>
      <w:pPr>
        <w:numPr>
          <w:ilvl w:val="0"/>
          <w:numId w:val="1002"/>
        </w:numPr>
        <w:pStyle w:val="Compact"/>
      </w:pPr>
      <w:r>
        <w:rPr>
          <w:bCs/>
          <w:b/>
        </w:rPr>
        <w:t xml:space="preserve">Family Involvement:</w:t>
      </w:r>
      <w:r>
        <w:t xml:space="preserve"> </w:t>
      </w:r>
      <w:r>
        <w:t xml:space="preserve">Recognizing the importance of family in Japanese healthcare, the practitioner effectively involves family members in the treatment process when consented, facilitating a supportive environment for the patient.</w:t>
      </w:r>
    </w:p>
    <w:bookmarkEnd w:id="29"/>
    <w:bookmarkStart w:id="30" w:name="documentation-and-record-keeping"/>
    <w:p>
      <w:pPr>
        <w:pStyle w:val="Heading2"/>
      </w:pPr>
      <w:r>
        <w:t xml:space="preserve">6. Documentation and Record Keeping</w:t>
      </w:r>
    </w:p>
    <w:p>
      <w:pPr>
        <w:pStyle w:val="FirstParagraph"/>
      </w:pPr>
      <w:r>
        <w:t xml:space="preserve">Accurate and timely documentation is a legal and professional requirement. This</w:t>
      </w:r>
      <w:r>
        <w:t xml:space="preserve"> </w:t>
      </w:r>
      <w:r>
        <w:rPr>
          <w:bCs/>
          <w:b/>
        </w:rPr>
        <w:t xml:space="preserve">Peer Review Report</w:t>
      </w:r>
      <w:r>
        <w:t xml:space="preserve"> </w:t>
      </w:r>
      <w:r>
        <w:t xml:space="preserve">assesses the</w:t>
      </w:r>
      <w:r>
        <w:t xml:space="preserve"> </w:t>
      </w:r>
      <w:r>
        <w:rPr>
          <w:bCs/>
          <w:b/>
        </w:rPr>
        <w:t xml:space="preserve">Psychiatrist</w:t>
      </w:r>
      <w:r>
        <w:t xml:space="preserve">'s compliance with record-keeping standards in</w:t>
      </w:r>
      <w:r>
        <w:t xml:space="preserve"> </w:t>
      </w:r>
      <w:r>
        <w:rPr>
          <w:bCs/>
          <w:b/>
        </w:rPr>
        <w:t xml:space="preserve">Japan Tokyo</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Assessment</w:t>
            </w:r>
          </w:p>
        </w:tc>
        <w:tc>
          <w:tcPr/>
          <w:p>
            <w:pPr>
              <w:pStyle w:val="Compact"/>
              <w:jc w:val="left"/>
            </w:pPr>
            <w:r>
              <w:t xml:space="preserve">Score</w:t>
            </w:r>
          </w:p>
        </w:tc>
      </w:tr>
      <w:tr>
        <w:tc>
          <w:tcPr/>
          <w:p>
            <w:pPr>
              <w:pStyle w:val="Compact"/>
              <w:jc w:val="left"/>
            </w:pPr>
            <w:r>
              <w:t xml:space="preserve">Completeness of Clinical Notes</w:t>
            </w:r>
          </w:p>
        </w:tc>
        <w:tc>
          <w:tcPr/>
          <w:p>
            <w:pPr>
              <w:pStyle w:val="Compact"/>
              <w:jc w:val="left"/>
            </w:pPr>
            <w:r>
              <w:t xml:space="preserve">Notes are detailed, including history, mental status exam, and treatment rationale.</w:t>
            </w:r>
          </w:p>
        </w:tc>
        <w:tc>
          <w:tcPr/>
          <w:p>
            <w:pPr>
              <w:pStyle w:val="Compact"/>
              <w:jc w:val="left"/>
            </w:pPr>
            <w:r>
              <w:t xml:space="preserve">Excellent</w:t>
            </w:r>
          </w:p>
        </w:tc>
      </w:tr>
      <w:tr>
        <w:tc>
          <w:tcPr/>
          <w:p>
            <w:pPr>
              <w:pStyle w:val="Compact"/>
              <w:jc w:val="left"/>
            </w:pPr>
            <w:r>
              <w:t xml:space="preserve">Timeliness of Entries</w:t>
            </w:r>
          </w:p>
        </w:tc>
        <w:tc>
          <w:tcPr/>
          <w:p>
            <w:pPr>
              <w:pStyle w:val="Compact"/>
              <w:jc w:val="left"/>
            </w:pPr>
            <w:r>
              <w:t xml:space="preserve">Entries are made within 24 hours of patient encounters.</w:t>
            </w:r>
          </w:p>
        </w:tc>
        <w:tc>
          <w:tcPr/>
          <w:p>
            <w:pPr>
              <w:pStyle w:val="Compact"/>
              <w:jc w:val="left"/>
            </w:pPr>
            <w:r>
              <w:t xml:space="preserve">Excellent</w:t>
            </w:r>
          </w:p>
        </w:tc>
      </w:tr>
      <w:tr>
        <w:tc>
          <w:tcPr/>
          <w:p>
            <w:pPr>
              <w:pStyle w:val="Compact"/>
              <w:jc w:val="left"/>
            </w:pPr>
            <w:r>
              <w:t xml:space="preserve">Digital Health Record (EHR) Compliance</w:t>
            </w:r>
          </w:p>
        </w:tc>
        <w:tc>
          <w:tcPr/>
          <w:p>
            <w:pPr>
              <w:pStyle w:val="Compact"/>
              <w:jc w:val="left"/>
            </w:pPr>
            <w:r>
              <w:t xml:space="preserve">Minor delays in updating shared EHR systems with partner clinics in Tokyo.</w:t>
            </w:r>
          </w:p>
        </w:tc>
        <w:tc>
          <w:tcPr/>
          <w:p>
            <w:pPr>
              <w:pStyle w:val="Compact"/>
              <w:jc w:val="left"/>
            </w:pPr>
            <w:r>
              <w:t xml:space="preserve">Satisfactory</w:t>
            </w:r>
          </w:p>
        </w:tc>
      </w:tr>
      <w:tr>
        <w:tc>
          <w:tcPr/>
          <w:p>
            <w:pPr>
              <w:pStyle w:val="Compact"/>
              <w:jc w:val="left"/>
            </w:pPr>
            <w:r>
              <w:t xml:space="preserve">Prescription Legibility and Accuracy</w:t>
            </w:r>
          </w:p>
        </w:tc>
        <w:tc>
          <w:tcPr/>
          <w:p>
            <w:pPr>
              <w:pStyle w:val="Compact"/>
              <w:jc w:val="left"/>
            </w:pPr>
            <w:r>
              <w:t xml:space="preserve">Electronic prescriptions are used, ensuring accuracy and reducing errors.</w:t>
            </w:r>
          </w:p>
        </w:tc>
        <w:tc>
          <w:tcPr/>
          <w:p>
            <w:pPr>
              <w:pStyle w:val="Compact"/>
              <w:jc w:val="left"/>
            </w:pPr>
            <w:r>
              <w:t xml:space="preserve">Excellent</w:t>
            </w:r>
          </w:p>
        </w:tc>
      </w:tr>
    </w:tbl>
    <w:bookmarkEnd w:id="30"/>
    <w:bookmarkStart w:id="31" w:name="continuing-professional-development-cpd"/>
    <w:p>
      <w:pPr>
        <w:pStyle w:val="Heading2"/>
      </w:pPr>
      <w:r>
        <w:t xml:space="preserve">7. Continuing Professional Development (CPD)</w:t>
      </w:r>
    </w:p>
    <w:p>
      <w:pPr>
        <w:pStyle w:val="FirstParagraph"/>
      </w:pPr>
      <w:r>
        <w:t xml:space="preserve">The medical field is constantly evolving, and this</w:t>
      </w:r>
      <w:r>
        <w:t xml:space="preserve"> </w:t>
      </w:r>
      <w:r>
        <w:rPr>
          <w:bCs/>
          <w:b/>
        </w:rPr>
        <w:t xml:space="preserve">Peer Review Report</w:t>
      </w:r>
      <w:r>
        <w:t xml:space="preserve"> </w:t>
      </w:r>
      <w:r>
        <w:t xml:space="preserve">confirms that the</w:t>
      </w:r>
      <w:r>
        <w:t xml:space="preserve"> </w:t>
      </w:r>
      <w:r>
        <w:rPr>
          <w:bCs/>
          <w:b/>
        </w:rPr>
        <w:t xml:space="preserve">Psychiatrist</w:t>
      </w:r>
      <w:r>
        <w:t xml:space="preserve"> </w:t>
      </w:r>
      <w:r>
        <w:t xml:space="preserve">is committed to lifelong learning. In</w:t>
      </w:r>
      <w:r>
        <w:t xml:space="preserve"> </w:t>
      </w:r>
      <w:r>
        <w:rPr>
          <w:bCs/>
          <w:b/>
        </w:rPr>
        <w:t xml:space="preserve">Japan Tokyo</w:t>
      </w:r>
      <w:r>
        <w:t xml:space="preserve">, access to cutting-edge research and training is abundant.</w:t>
      </w:r>
    </w:p>
    <w:p>
      <w:pPr>
        <w:pStyle w:val="BodyText"/>
      </w:pPr>
      <w:r>
        <w:t xml:space="preserve">The practitioner has actively participated in recent conferences hosted by the Japanese Society of Psychiatry and Neurology (JSPN) and has completed mandatory CPD credits. Furthermore, the</w:t>
      </w:r>
      <w:r>
        <w:t xml:space="preserve"> </w:t>
      </w:r>
      <w:r>
        <w:rPr>
          <w:bCs/>
          <w:b/>
        </w:rPr>
        <w:t xml:space="preserve">Psychiatrist</w:t>
      </w:r>
      <w:r>
        <w:t xml:space="preserve"> </w:t>
      </w:r>
      <w:r>
        <w:t xml:space="preserve">has engaged in specialized training in trauma-informed care and digital mental health tools, reflecting a proactive approach to staying current with best practices.</w:t>
      </w:r>
    </w:p>
    <w:bookmarkEnd w:id="31"/>
    <w:bookmarkStart w:id="34" w:name="recommendations-and-conclusion"/>
    <w:p>
      <w:pPr>
        <w:pStyle w:val="Heading2"/>
      </w:pPr>
      <w:r>
        <w:t xml:space="preserve">8.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Psychiatrist</w:t>
      </w:r>
      <w:r>
        <w:t xml:space="preserve"> </w:t>
      </w:r>
      <w:r>
        <w:t xml:space="preserve">is deemed to be practicing at a level that meets or exceeds the professional standards expected in</w:t>
      </w:r>
      <w:r>
        <w:t xml:space="preserve"> </w:t>
      </w:r>
      <w:r>
        <w:rPr>
          <w:bCs/>
          <w:b/>
        </w:rPr>
        <w:t xml:space="preserve">Japan Tokyo</w:t>
      </w:r>
      <w:r>
        <w:t xml:space="preserve">. The practitioner demonstrates clinical excellence, ethical integrity, and a deep commitment to patient care.</w:t>
      </w:r>
    </w:p>
    <w:bookmarkStart w:id="32" w:name="recommendations-for-improvement"/>
    <w:p>
      <w:pPr>
        <w:pStyle w:val="Heading3"/>
      </w:pPr>
      <w:r>
        <w:t xml:space="preserve">8.1 Recommendations for Improvement</w:t>
      </w:r>
    </w:p>
    <w:p>
      <w:pPr>
        <w:numPr>
          <w:ilvl w:val="0"/>
          <w:numId w:val="1003"/>
        </w:numPr>
        <w:pStyle w:val="Compact"/>
      </w:pPr>
      <w:r>
        <w:rPr>
          <w:bCs/>
          <w:b/>
        </w:rPr>
        <w:t xml:space="preserve">Enhance EHR Integration:</w:t>
      </w:r>
      <w:r>
        <w:t xml:space="preserve"> </w:t>
      </w:r>
      <w:r>
        <w:t xml:space="preserve">Improve the timeliness of data sharing with the broader Tokyo healthcare network to ensure seamless continuity of care.</w:t>
      </w:r>
    </w:p>
    <w:p>
      <w:pPr>
        <w:numPr>
          <w:ilvl w:val="0"/>
          <w:numId w:val="1003"/>
        </w:numPr>
        <w:pStyle w:val="Compact"/>
      </w:pPr>
      <w:r>
        <w:rPr>
          <w:bCs/>
          <w:b/>
        </w:rPr>
        <w:t xml:space="preserve">Expand Multilingual Resources:</w:t>
      </w:r>
      <w:r>
        <w:t xml:space="preserve"> </w:t>
      </w:r>
      <w:r>
        <w:t xml:space="preserve">Consider developing or utilizing more multilingual psychoeducational materials to better serve the growing international community in Tokyo.</w:t>
      </w:r>
    </w:p>
    <w:p>
      <w:pPr>
        <w:numPr>
          <w:ilvl w:val="0"/>
          <w:numId w:val="1003"/>
        </w:numPr>
        <w:pStyle w:val="Compact"/>
      </w:pPr>
      <w:r>
        <w:rPr>
          <w:bCs/>
          <w:b/>
        </w:rPr>
        <w:t xml:space="preserve">Peer Consultation:</w:t>
      </w:r>
      <w:r>
        <w:t xml:space="preserve"> </w:t>
      </w:r>
      <w:r>
        <w:t xml:space="preserve">Increase participation in multidisciplinary case conferences to further refine complex treatment plans.</w:t>
      </w:r>
    </w:p>
    <w:bookmarkEnd w:id="32"/>
    <w:bookmarkStart w:id="33" w:name="final-determination"/>
    <w:p>
      <w:pPr>
        <w:pStyle w:val="Heading3"/>
      </w:pPr>
      <w:r>
        <w:t xml:space="preserve">8.2 Final Determination</w:t>
      </w:r>
    </w:p>
    <w:p>
      <w:pPr>
        <w:pStyle w:val="FirstParagraph"/>
      </w:pPr>
      <w:r>
        <w:rPr>
          <w:bCs/>
          <w:b/>
        </w:rPr>
        <w:t xml:space="preserve">Status: Approved with Recommendations.</w:t>
      </w:r>
      <w:r>
        <w:t xml:space="preserve"> </w:t>
      </w:r>
      <w:r>
        <w:t xml:space="preserve">The</w:t>
      </w:r>
      <w:r>
        <w:t xml:space="preserve"> </w:t>
      </w:r>
      <w:r>
        <w:rPr>
          <w:bCs/>
          <w:b/>
        </w:rPr>
        <w:t xml:space="preserve">Psychiatrist</w:t>
      </w:r>
      <w:r>
        <w:t xml:space="preserve"> </w:t>
      </w:r>
      <w:r>
        <w:t xml:space="preserve">is cleared to continue practice. The recommendations outlined above should be addressed within the next 12 months, with progress to be reviewed in the subsequent annual</w:t>
      </w:r>
      <w:r>
        <w:t xml:space="preserve"> </w:t>
      </w:r>
      <w:r>
        <w:rPr>
          <w:bCs/>
          <w:b/>
        </w:rPr>
        <w:t xml:space="preserve">Peer Review Report</w:t>
      </w:r>
      <w:r>
        <w:t xml:space="preserve">.</w:t>
      </w:r>
    </w:p>
    <w:bookmarkEnd w:id="33"/>
    <w:bookmarkEnd w:id="34"/>
    <w:p>
      <w:pPr>
        <w:pStyle w:val="BodyText"/>
      </w:pPr>
      <w:r>
        <w:t xml:space="preserve">This document is confidential and intended solely for the use of the addressee. Unauthorized distribution is prohibited.</w:t>
      </w:r>
    </w:p>
    <w:p>
      <w:pPr>
        <w:pStyle w:val="BodyText"/>
      </w:pPr>
      <w:r>
        <w:t xml:space="preserve">© 2023 Tokyo Medical Association Peer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Japan Tokyo</dc:title>
  <dc:creator/>
  <dc:language>en</dc:language>
  <cp:keywords/>
  <dcterms:created xsi:type="dcterms:W3CDTF">2026-10-10T04:17:37Z</dcterms:created>
  <dcterms:modified xsi:type="dcterms:W3CDTF">2026-10-10T04:17:37Z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