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Practice</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Conduct of a Psychiatrist</w:t>
      </w:r>
    </w:p>
    <w:p>
      <w:pPr>
        <w:pStyle w:val="BodyText"/>
      </w:pPr>
      <w:r>
        <w:rPr>
          <w:bCs/>
          <w:b/>
        </w:rPr>
        <w:t xml:space="preserve">Jurisdiction:</w:t>
      </w:r>
      <w:r>
        <w:t xml:space="preserve"> </w:t>
      </w:r>
      <w:r>
        <w:t xml:space="preserve">Singapore</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PR-2023-PSY-SG-089</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adherence, and professional standards of a practicing Psychiatrist within the healthcare framework of Singapore. The primary objective of this review is to ensure that the psychiatrist’s practice aligns with the rigorous standards set forth by the Singapore Medical Council (SMC) and the Ministry of Health (MOH). In the context of Singapore, where mental health care is increasingly integrated into primary and tertiary care systems, maintaining high standards of psychiatric practice is paramount for patient safety and public trust.</w:t>
      </w:r>
    </w:p>
    <w:p>
      <w:pPr>
        <w:pStyle w:val="BodyText"/>
      </w:pPr>
      <w:r>
        <w:t xml:space="preserve">The review focuses on case management, diagnostic accuracy, pharmacological prescribing practices, and adherence to the Mental Health (Care and Treatment) Act of Singapore. This document serves as an official record of the peer assessment process, highlighting areas of excellence and identifying necessary corrective actions to uphold the integrity of psychiatric care in Singapore.</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psychiatrist’s activities over the preceding twelve months. The review panel, consisting of senior psychiatrists and medical ethicists accredited in Singapore, examined a random sample of 50 patient files. The evaluation criteria were strictly aligned with the SMC’s Ethical Code and Ethical Guidelines, as well as the clinical practice guidelines issued by the Singapore Psychiatric Society.</w:t>
      </w:r>
    </w:p>
    <w:p>
      <w:pPr>
        <w:pStyle w:val="BodyText"/>
      </w:pPr>
      <w:r>
        <w:t xml:space="preserve">Specific areas of focus included:</w:t>
      </w:r>
    </w:p>
    <w:p>
      <w:pPr>
        <w:numPr>
          <w:ilvl w:val="0"/>
          <w:numId w:val="1001"/>
        </w:numPr>
        <w:pStyle w:val="Compact"/>
      </w:pPr>
      <w:r>
        <w:t xml:space="preserve">Diagnostic formulation and differential diagnosis.</w:t>
      </w:r>
    </w:p>
    <w:p>
      <w:pPr>
        <w:numPr>
          <w:ilvl w:val="0"/>
          <w:numId w:val="1001"/>
        </w:numPr>
        <w:pStyle w:val="Compact"/>
      </w:pPr>
      <w:r>
        <w:t xml:space="preserve">Appropriateness of psychopharmacological interventions.</w:t>
      </w:r>
    </w:p>
    <w:p>
      <w:pPr>
        <w:numPr>
          <w:ilvl w:val="0"/>
          <w:numId w:val="1001"/>
        </w:numPr>
        <w:pStyle w:val="Compact"/>
      </w:pPr>
      <w:r>
        <w:t xml:space="preserve">Management of involuntary admissions under Singapore law.</w:t>
      </w:r>
    </w:p>
    <w:p>
      <w:pPr>
        <w:numPr>
          <w:ilvl w:val="0"/>
          <w:numId w:val="1001"/>
        </w:numPr>
        <w:pStyle w:val="Compact"/>
      </w:pPr>
      <w:r>
        <w:t xml:space="preserve">Documentation quality and continuity of care.</w:t>
      </w:r>
    </w:p>
    <w:p>
      <w:pPr>
        <w:numPr>
          <w:ilvl w:val="0"/>
          <w:numId w:val="1001"/>
        </w:numPr>
        <w:pStyle w:val="Compact"/>
      </w:pPr>
      <w:r>
        <w:t xml:space="preserve">Interdisciplinary collaboration with psychologists, social workers, and general practitioners.</w:t>
      </w:r>
    </w:p>
    <w:bookmarkEnd w:id="22"/>
    <w:bookmarkStart w:id="23" w:name="X45c1b4156b66fede970d38e87ba1f3035493e48"/>
    <w:p>
      <w:pPr>
        <w:pStyle w:val="Heading2"/>
      </w:pPr>
      <w:r>
        <w:t xml:space="preserve">3. Clinical Competence and Diagnostic Accuracy</w:t>
      </w:r>
    </w:p>
    <w:p>
      <w:pPr>
        <w:pStyle w:val="FirstParagraph"/>
      </w:pPr>
      <w:r>
        <w:t xml:space="preserve">The review indicates that the Psychiatrist demonstrates a high level of clinical competence. Diagnostic assessments were found to be thorough, utilizing standardized tools such as the Mini-International Neuropsychiatric Interview (MINI) and the Hamilton Depression Rating Scale (HAM-D) where appropriate. The psychiatrist’s ability to differentiate between complex psychiatric conditions, such as bipolar disorder and borderline personality disorder, was noted as a strength.</w:t>
      </w:r>
    </w:p>
    <w:p>
      <w:pPr>
        <w:pStyle w:val="BodyText"/>
      </w:pPr>
      <w:r>
        <w:t xml:space="preserve">In the Singaporean context, where cultural factors significantly influence the presentation of mental illness, the psychiatrist showed commendable cultural sensitivity. The review panel observed that the psychiatrist effectively integrated cultural considerations into the diagnostic process, ensuring that somatic presentations of distress were appropriately evaluated within the local cultural framework. This approach is consistent with best practices recommended for mental health professionals in Singapore.</w:t>
      </w:r>
    </w:p>
    <w:bookmarkEnd w:id="23"/>
    <w:bookmarkStart w:id="24" w:name="pharmacological-management-and-safety"/>
    <w:p>
      <w:pPr>
        <w:pStyle w:val="Heading2"/>
      </w:pPr>
      <w:r>
        <w:t xml:space="preserve">4. Pharmacological Management and Safety</w:t>
      </w:r>
    </w:p>
    <w:p>
      <w:pPr>
        <w:pStyle w:val="FirstParagraph"/>
      </w:pPr>
      <w:r>
        <w:t xml:space="preserve">A critical component of this Peer Review Report is the assessment of prescribing practices. The psychiatrist’s medication regimens were reviewed for adherence to evidence-based guidelines. The panel found that the psychiatrist generally adheres to the principle of starting low and going slow, particularly in elderly patients, a demographic that is growing rapidly in Singapore.</w:t>
      </w:r>
    </w:p>
    <w:p>
      <w:pPr>
        <w:pStyle w:val="BodyText"/>
      </w:pPr>
      <w:r>
        <w:t xml:space="preserve">However, the review identified minor inconsistencies in the monitoring of metabolic side effects for patients on second-generation antipsychotics. While the psychiatrist documented regular follow-ups, specific metrics such as fasting blood glucose and lipid profiles were not consistently recorded in all patient files. To align with the MOH’s guidelines on metabolic monitoring, it is recommended that the psychiatrist implement a standardized checklist for metabolic monitoring in their practice.</w:t>
      </w:r>
    </w:p>
    <w:bookmarkEnd w:id="24"/>
    <w:bookmarkStart w:id="25" w:name="legal-and-ethical-compliance"/>
    <w:p>
      <w:pPr>
        <w:pStyle w:val="Heading2"/>
      </w:pPr>
      <w:r>
        <w:t xml:space="preserve">5. Legal and Ethical Compliance</w:t>
      </w:r>
    </w:p>
    <w:p>
      <w:pPr>
        <w:pStyle w:val="FirstParagraph"/>
      </w:pPr>
      <w:r>
        <w:t xml:space="preserve">Compliance with the Mental Health (Care and Treatment) Act is a non-negotiable aspect of psychiatric practice in Singapore. The review panel examined cases involving involuntary admission and treatment. The documentation regarding the assessment of risk to self or others was found to be robust. The psychiatrist demonstrated a clear understanding of the legal criteria for involuntary admission and ensured that patients’ rights were respected throughout the process.</w:t>
      </w:r>
    </w:p>
    <w:p>
      <w:pPr>
        <w:pStyle w:val="BodyText"/>
      </w:pPr>
      <w:r>
        <w:t xml:space="preserve">Furthermore, the psychiatrist adhered to the SMC’s guidelines on confidentiality and informed consent. The review noted that consent forms were properly executed, and patients were adequately informed about the risks and benefits of proposed treatments. This adherence to ethical standards is crucial for maintaining the trust of the Singaporean public in psychiatric services.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quality of care provided by the Psychiatrist:</w:t>
      </w:r>
    </w:p>
    <w:p>
      <w:pPr>
        <w:numPr>
          <w:ilvl w:val="0"/>
          <w:numId w:val="1002"/>
        </w:numPr>
        <w:pStyle w:val="Compact"/>
      </w:pPr>
      <w:r>
        <w:rPr>
          <w:bCs/>
          <w:b/>
        </w:rPr>
        <w:t xml:space="preserve">Enhanced Metabolic Monitoring:</w:t>
      </w:r>
      <w:r>
        <w:t xml:space="preserve"> </w:t>
      </w:r>
      <w:r>
        <w:t xml:space="preserve">Implement a systematic approach to monitoring metabolic parameters in patients on long-term antipsychotic therapy.</w:t>
      </w:r>
    </w:p>
    <w:p>
      <w:pPr>
        <w:numPr>
          <w:ilvl w:val="0"/>
          <w:numId w:val="1002"/>
        </w:numPr>
        <w:pStyle w:val="Compact"/>
      </w:pPr>
      <w:r>
        <w:rPr>
          <w:bCs/>
          <w:b/>
        </w:rPr>
        <w:t xml:space="preserve">Documentation Standardization:</w:t>
      </w:r>
      <w:r>
        <w:t xml:space="preserve"> </w:t>
      </w:r>
      <w:r>
        <w:t xml:space="preserve">Adopt a standardized template for documenting risk assessments and treatment plans to ensure consistency and completeness.</w:t>
      </w:r>
    </w:p>
    <w:p>
      <w:pPr>
        <w:numPr>
          <w:ilvl w:val="0"/>
          <w:numId w:val="1002"/>
        </w:numPr>
        <w:pStyle w:val="Compact"/>
      </w:pPr>
      <w:r>
        <w:rPr>
          <w:bCs/>
          <w:b/>
        </w:rPr>
        <w:t xml:space="preserve">Continuing Professional Development:</w:t>
      </w:r>
      <w:r>
        <w:t xml:space="preserve"> </w:t>
      </w:r>
      <w:r>
        <w:t xml:space="preserve">Engage in regular continuing medical education (CME) activities focused on emerging treatments and cultural competence in mental health care.</w:t>
      </w:r>
    </w:p>
    <w:bookmarkEnd w:id="26"/>
    <w:bookmarkStart w:id="27" w:name="conclusion"/>
    <w:p>
      <w:pPr>
        <w:pStyle w:val="Heading2"/>
      </w:pPr>
      <w:r>
        <w:t xml:space="preserve">7. Conclusion</w:t>
      </w:r>
    </w:p>
    <w:p>
      <w:pPr>
        <w:pStyle w:val="FirstParagraph"/>
      </w:pPr>
      <w:r>
        <w:t xml:space="preserve">In conclusion, this Peer Review Report affirms that the Psychiatrist under review maintains a high standard of clinical practice in Singapore. The psychiatrist’s commitment to patient care, ethical integrity, and adherence to legal frameworks is evident. The minor areas for improvement identified in this report are addressed through constructive recommendations aimed at further enhancing the quality of psychiatric care. The review panel is confident that the psychiatrist will continue to contribute positively to the mental health landscape of Singapore.</w:t>
      </w:r>
    </w:p>
    <w:bookmarkEnd w:id="27"/>
    <w:p>
      <w:pPr>
        <w:pStyle w:val="BodyText"/>
      </w:pPr>
      <w:r>
        <w:rPr>
          <w:bCs/>
          <w:b/>
        </w:rPr>
        <w:t xml:space="preserve">Prepared by:</w:t>
      </w:r>
    </w:p>
    <w:p>
      <w:pPr>
        <w:pStyle w:val="BodyText"/>
      </w:pPr>
      <w:r>
        <w:t xml:space="preserve">Dr. A. Tan, MBBS, MRCPsych</w:t>
      </w:r>
    </w:p>
    <w:p>
      <w:pPr>
        <w:pStyle w:val="BodyText"/>
      </w:pPr>
      <w:r>
        <w:t xml:space="preserve">Senior Consultant Psychiatrist</w:t>
      </w:r>
    </w:p>
    <w:p>
      <w:pPr>
        <w:pStyle w:val="BodyText"/>
      </w:pPr>
      <w:r>
        <w:t xml:space="preserve">Peer Review Panel, Singapore</w:t>
      </w:r>
    </w:p>
    <w:p>
      <w:pPr>
        <w:pStyle w:val="BodyText"/>
      </w:pPr>
      <w:r>
        <w:br/>
      </w:r>
    </w:p>
    <w:p>
      <w:pPr>
        <w:pStyle w:val="BodyText"/>
      </w:pPr>
      <w:r>
        <w:rPr>
          <w:bCs/>
          <w:b/>
        </w:rPr>
        <w:t xml:space="preserve">Approved by:</w:t>
      </w:r>
    </w:p>
    <w:p>
      <w:pPr>
        <w:pStyle w:val="BodyText"/>
      </w:pPr>
      <w:r>
        <w:t xml:space="preserve">Dr. L. Wong, MBBS, PhD</w:t>
      </w:r>
    </w:p>
    <w:p>
      <w:pPr>
        <w:pStyle w:val="BodyText"/>
      </w:pPr>
      <w:r>
        <w:t xml:space="preserve">Chairperson, Medical Ethics Committee</w:t>
      </w:r>
    </w:p>
    <w:p>
      <w:pPr>
        <w:pStyle w:val="BodyText"/>
      </w:pPr>
      <w:r>
        <w:t xml:space="preserve">Singapore Medical Council Accredited Reviewer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Practice in Singapore</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