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Performance and Professional Conduct Assessment</w:t>
      </w:r>
    </w:p>
    <w:p>
      <w:pPr>
        <w:pStyle w:val="BodyText"/>
      </w:pPr>
      <w:r>
        <w:rPr>
          <w:bCs/>
          <w:b/>
        </w:rPr>
        <w:t xml:space="preserve">Specialty:</w:t>
      </w:r>
      <w:r>
        <w:t xml:space="preserve"> </w:t>
      </w:r>
      <w:r>
        <w:t xml:space="preserve">Psychiatry</w:t>
      </w:r>
    </w:p>
    <w:p>
      <w:pPr>
        <w:pStyle w:val="BodyText"/>
      </w:pPr>
      <w:r>
        <w:rPr>
          <w:bCs/>
          <w:b/>
        </w:rPr>
        <w:t xml:space="preserve">Location:</w:t>
      </w:r>
      <w:r>
        <w:t xml:space="preserve"> </w:t>
      </w:r>
      <w:r>
        <w:t xml:space="preserve">United Kingdom London</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practice, professional conduct, and adherence to regulatory standards of a Consultant Psychiatrist currently practicing within the National Health Service (NHS) and private sectors in United Kingdom London. The review was conducted in accordance with the guidelines set forth by the General Medical Council (GMC) and the Royal College of Psychiatrists. The primary objective of this assessment is to ensure that the Psychiatrist maintains the highest standards of patient care, safety, and ethical practice required within the complex healthcare landscape of London.</w:t>
      </w:r>
    </w:p>
    <w:p>
      <w:pPr>
        <w:pStyle w:val="BodyText"/>
      </w:pPr>
      <w:r>
        <w:t xml:space="preserve">The scope of this review encompasses a comprehensive analysis of clinical case files, patient feedback mechanisms, multidisciplinary team (MDT) interactions, and compliance with local and national protocols specific to mental health services in the capital.</w:t>
      </w:r>
    </w:p>
    <w:bookmarkEnd w:id="21"/>
    <w:bookmarkStart w:id="22" w:name="X45c1b4156b66fede970d38e87ba1f3035493e48"/>
    <w:p>
      <w:pPr>
        <w:pStyle w:val="Heading2"/>
      </w:pPr>
      <w:r>
        <w:t xml:space="preserve">2. Clinical Competence and Diagnostic Accuracy</w:t>
      </w:r>
    </w:p>
    <w:p>
      <w:pPr>
        <w:pStyle w:val="FirstParagraph"/>
      </w:pPr>
      <w:r>
        <w:t xml:space="preserve">The Psychiatrist demonstrates a robust level of clinical competence consistent with the expectations of a senior practitioner in United Kingdom London. The review of selected case files indicates a high degree of diagnostic accuracy across a spectrum of psychiatric conditions, including mood disorders, psychotic disorders, and neurodevelopmental conditions. The clinician effectively utilizes the International Classification of Diseases (ICD-11) and DSM-5 criteria, ensuring that diagnoses are evidence-based and clinically justified.</w:t>
      </w:r>
    </w:p>
    <w:p>
      <w:pPr>
        <w:pStyle w:val="BodyText"/>
      </w:pPr>
      <w:r>
        <w:t xml:space="preserve">Furthermore, the Psychiatrist exhibits strong skills in formulating complex treatment plans that are tailored to the individual needs of patients. This includes the appropriate prescription of psychotropic medications, with careful monitoring of side effects and drug interactions. The clinician’s approach to psychopharmacology aligns with the British National Formulary (BNF) and current NICE (National Institute for Health and Care Excellence) guidelines. The ability to integrate psychological therapies with pharmacological interventions reflects a holistic approach to mental health care, which is particularly vital in the diverse demographic setting of London.</w:t>
      </w:r>
    </w:p>
    <w:bookmarkEnd w:id="22"/>
    <w:bookmarkStart w:id="23" w:name="patient-safety-and-risk-management"/>
    <w:p>
      <w:pPr>
        <w:pStyle w:val="Heading2"/>
      </w:pPr>
      <w:r>
        <w:t xml:space="preserve">3. Patient Safety and Risk Management</w:t>
      </w:r>
    </w:p>
    <w:p>
      <w:pPr>
        <w:pStyle w:val="FirstParagraph"/>
      </w:pPr>
      <w:r>
        <w:t xml:space="preserve">Patient safety is a paramount concern in psychiatric practice, and this Peer Review Report confirms that the Psychiatrist adheres to rigorous risk management protocols. The assessment of risk assessments for self-harm, suicide, and violence towards others is thorough, documented clearly, and updated regularly. The clinician demonstrates a proactive approach to identifying vulnerable patients and implementing appropriate safeguarding measures in line with the Mental Health Act 1983 (as amended).</w:t>
      </w:r>
    </w:p>
    <w:p>
      <w:pPr>
        <w:pStyle w:val="BodyText"/>
      </w:pPr>
      <w:r>
        <w:t xml:space="preserve">In the context of United Kingdom London, where access to emergency psychiatric services is critical, the Psychiatrist has shown effective coordination with crisis teams and acute admission units. Documentation regarding capacity assessments under the Mental Capacity Act 2005 is precise and legally sound. The clinician ensures that patients and their families are fully informed about risks and treatment options, fostering a transparent therapeutic relationship.</w:t>
      </w:r>
    </w:p>
    <w:bookmarkEnd w:id="23"/>
    <w:bookmarkStart w:id="24" w:name="professional-conduct-and-communication"/>
    <w:p>
      <w:pPr>
        <w:pStyle w:val="Heading2"/>
      </w:pPr>
      <w:r>
        <w:t xml:space="preserve">4. Professional Conduct and Communication</w:t>
      </w:r>
    </w:p>
    <w:p>
      <w:pPr>
        <w:pStyle w:val="FirstParagraph"/>
      </w:pPr>
      <w:r>
        <w:t xml:space="preserve">The Psychiatrist’s professional conduct is exemplary, reflecting the values outlined in the GMC’s “Good Medical Practice.” Communication skills are a particular strength, with the clinician demonstrating empathy, cultural sensitivity, and clarity when interacting with patients from diverse backgrounds. This is essential in London, a city characterized by significant cultural and linguistic diversity. The Psychiatrist effectively utilizes interpreters when necessary and ensures that information is accessible to patients with varying levels of health literacy.</w:t>
      </w:r>
    </w:p>
    <w:p>
      <w:pPr>
        <w:pStyle w:val="BodyText"/>
      </w:pPr>
      <w:r>
        <w:t xml:space="preserve">Within the multidisciplinary team, the Psychiatrist acts as a collaborative leader, fostering open communication with psychologists, nurses, social workers, and occupational therapists. Feedback from colleagues indicates that the clinician is approachable, supportive, and committed to shared decision-making. This collaborative ethos enhances the overall quality of care provided to patients within the NHS trust and private practice settings.</w:t>
      </w:r>
    </w:p>
    <w:bookmarkEnd w:id="24"/>
    <w:bookmarkStart w:id="25" w:name="X709093c205fce345073378c66e7d815e4746204"/>
    <w:p>
      <w:pPr>
        <w:pStyle w:val="Heading2"/>
      </w:pPr>
      <w:r>
        <w:t xml:space="preserve">5. Adherence to Regulatory Standards and Continuous Professional Development</w:t>
      </w:r>
    </w:p>
    <w:p>
      <w:pPr>
        <w:pStyle w:val="FirstParagraph"/>
      </w:pPr>
      <w:r>
        <w:t xml:space="preserve">The review confirms that the Psychiatrist is fully compliant with all regulatory requirements in the United Kingdom. This includes maintaining a valid license to practice with the GMC and participating in the annual appraisal and revalidation process. The clinician’s portfolio demonstrates a commitment to Continuous Professional Development (CPD), with regular attendance at conferences, workshops, and training sessions relevant to psychiatry.</w:t>
      </w:r>
    </w:p>
    <w:p>
      <w:pPr>
        <w:pStyle w:val="BodyText"/>
      </w:pPr>
      <w:r>
        <w:t xml:space="preserve">The Psychiatrist actively engages with local quality improvement initiatives and contributes to the dissemination of best practices within the London mental health community. This dedication to lifelong learning ensures that the clinician remains abreast of emerging evidence and innovations in psychiatric care.</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for this Peer Review Report, it is concluded that the Psychiatrist meets and, in several areas, exceeds the standards expected of a senior mental health professional in United Kingdom London. The clinician’s commitment to patient safety, clinical excellence, and professional integrity is evident.</w:t>
      </w:r>
    </w:p>
    <w:p>
      <w:pPr>
        <w:pStyle w:val="BodyText"/>
      </w:pPr>
      <w:r>
        <w:rPr>
          <w:bCs/>
          <w:b/>
        </w:rPr>
        <w:t xml:space="preserve">Recommendations:</w:t>
      </w:r>
    </w:p>
    <w:p>
      <w:pPr>
        <w:numPr>
          <w:ilvl w:val="0"/>
          <w:numId w:val="1001"/>
        </w:numPr>
        <w:pStyle w:val="Compact"/>
      </w:pPr>
      <w:r>
        <w:t xml:space="preserve">Continue to engage in regular peer supervision to maintain high standards of practice.</w:t>
      </w:r>
    </w:p>
    <w:p>
      <w:pPr>
        <w:numPr>
          <w:ilvl w:val="0"/>
          <w:numId w:val="1001"/>
        </w:numPr>
        <w:pStyle w:val="Compact"/>
      </w:pPr>
      <w:r>
        <w:t xml:space="preserve">Consider leading a local audit on the management of complex comorbidities to further contribute to service improvement.</w:t>
      </w:r>
    </w:p>
    <w:p>
      <w:pPr>
        <w:numPr>
          <w:ilvl w:val="0"/>
          <w:numId w:val="1001"/>
        </w:numPr>
        <w:pStyle w:val="Compact"/>
      </w:pPr>
      <w:r>
        <w:t xml:space="preserve">Maintain current CPD activities, with a focus on emerging digital health tools in psychiatry.</w:t>
      </w:r>
    </w:p>
    <w:p>
      <w:pPr>
        <w:pStyle w:val="FirstParagraph"/>
      </w:pPr>
      <w:r>
        <w:t xml:space="preserve">This report serves as a formal endorsement of the Psychiatrist’s fitness to practice and their valuable contribution to mental health services in London.</w:t>
      </w:r>
    </w:p>
    <w:bookmarkEnd w:id="26"/>
    <w:p>
      <w:pPr>
        <w:pStyle w:val="BodyText"/>
      </w:pPr>
      <w:r>
        <w:rPr>
          <w:bCs/>
          <w:b/>
        </w:rPr>
        <w:t xml:space="preserve">Reviewed by:</w:t>
      </w:r>
    </w:p>
    <w:p>
      <w:pPr>
        <w:pStyle w:val="BodyText"/>
      </w:pPr>
      <w:r>
        <w:t xml:space="preserve">Dr. [Name Redacted]</w:t>
      </w:r>
    </w:p>
    <w:p>
      <w:pPr>
        <w:pStyle w:val="BodyText"/>
      </w:pPr>
      <w:r>
        <w:t xml:space="preserve">Consultant Psychiatrist</w:t>
      </w:r>
    </w:p>
    <w:p>
      <w:pPr>
        <w:pStyle w:val="BodyText"/>
      </w:pPr>
      <w:r>
        <w:t xml:space="preserve">Member of the Royal College of Psychiatrists</w:t>
      </w:r>
    </w:p>
    <w:p>
      <w:pPr>
        <w:pStyle w:val="BodyText"/>
      </w:pPr>
      <w:r>
        <w:t xml:space="preserve">United Kingdom London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United Kingdom London</dc:title>
  <dc:creator/>
  <dc:language>en</dc:language>
  <cp:keywords/>
  <dcterms:created xsi:type="dcterms:W3CDTF">2026-10-10T05:52:31Z</dcterms:created>
  <dcterms:modified xsi:type="dcterms:W3CDTF">2026-10-10T05:52:31Z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