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Radiologist</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and Practice Review</w:t>
      </w:r>
    </w:p>
    <w:p>
      <w:pPr>
        <w:pStyle w:val="BodyText"/>
      </w:pPr>
      <w:r>
        <w:rPr>
          <w:bCs/>
          <w:b/>
        </w:rPr>
        <w:t xml:space="preserve">Location:</w:t>
      </w:r>
      <w:r>
        <w:t xml:space="preserve"> </w:t>
      </w:r>
      <w:r>
        <w:t xml:space="preserve">Auckland, New Zealand</w:t>
      </w:r>
    </w:p>
    <w:p>
      <w:pPr>
        <w:pStyle w:val="BodyText"/>
      </w:pPr>
      <w:r>
        <w:rPr>
          <w:bCs/>
          <w:b/>
        </w:rPr>
        <w:t xml:space="preserve">Date of Report:</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set forth by the Medical Council of New Zealand and the Royal Australian and New Zealand College of Radiologists (RANZCR). The purpose of this document is to evaluate the clinical performance, diagnostic accuracy, and professional conduct of a Radiologist practicing within the Auckland region.</w:t>
      </w:r>
    </w:p>
    <w:p>
      <w:pPr>
        <w:pStyle w:val="BodyText"/>
      </w:pPr>
      <w:r>
        <w:t xml:space="preserve">Radiology in New Zealand Auckland is characterized by a high volume of complex cases due to the density of tertiary care facilities, including Auckland City Hospital and various private imaging centers. Consequently, the expectations for a Radiologist in this jurisdiction are exceptionally high. This review focuses on a retrospective analysis of 120 cases over a six-month period, selected to represent a cross-section of modalities including Computed Tomography (CT), Magnetic Resonance Imaging (MRI), Ultrasound, and Fluoroscopy.</w:t>
      </w:r>
    </w:p>
    <w:bookmarkEnd w:id="21"/>
    <w:bookmarkStart w:id="22" w:name="radiologist-profile-and-context"/>
    <w:p>
      <w:pPr>
        <w:pStyle w:val="Heading2"/>
      </w:pPr>
      <w:r>
        <w:t xml:space="preserve">2. Radiologist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Radiologist Name</w:t>
            </w:r>
          </w:p>
        </w:tc>
        <w:tc>
          <w:tcPr/>
          <w:p>
            <w:pPr>
              <w:pStyle w:val="Compact"/>
              <w:jc w:val="left"/>
            </w:pPr>
            <w:r>
              <w:t xml:space="preserve">[Name Redacted for Confidentiality]</w:t>
            </w:r>
          </w:p>
        </w:tc>
      </w:tr>
      <w:tr>
        <w:tc>
          <w:tcPr/>
          <w:p>
            <w:pPr>
              <w:pStyle w:val="Compact"/>
              <w:jc w:val="left"/>
            </w:pPr>
            <w:r>
              <w:t xml:space="preserve">Registration Number</w:t>
            </w:r>
          </w:p>
        </w:tc>
        <w:tc>
          <w:tcPr/>
          <w:p>
            <w:pPr>
              <w:pStyle w:val="Compact"/>
              <w:jc w:val="left"/>
            </w:pPr>
            <w:r>
              <w:t xml:space="preserve">[MCNZ Registration Number]</w:t>
            </w:r>
          </w:p>
        </w:tc>
      </w:tr>
      <w:tr>
        <w:tc>
          <w:tcPr/>
          <w:p>
            <w:pPr>
              <w:pStyle w:val="Compact"/>
              <w:jc w:val="left"/>
            </w:pPr>
            <w:r>
              <w:t xml:space="preserve">Specialty</w:t>
            </w:r>
          </w:p>
        </w:tc>
        <w:tc>
          <w:tcPr/>
          <w:p>
            <w:pPr>
              <w:pStyle w:val="Compact"/>
              <w:jc w:val="left"/>
            </w:pPr>
            <w:r>
              <w:t xml:space="preserve">Diagnostic Radiology</w:t>
            </w:r>
          </w:p>
        </w:tc>
      </w:tr>
      <w:tr>
        <w:tc>
          <w:tcPr/>
          <w:p>
            <w:pPr>
              <w:pStyle w:val="Compact"/>
              <w:jc w:val="left"/>
            </w:pPr>
            <w:r>
              <w:t xml:space="preserve">Practice Location</w:t>
            </w:r>
          </w:p>
        </w:tc>
        <w:tc>
          <w:tcPr/>
          <w:p>
            <w:pPr>
              <w:pStyle w:val="Compact"/>
              <w:jc w:val="left"/>
            </w:pPr>
            <w:r>
              <w:t xml:space="preserve">Auckland, New Zealand</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Review Period</w:t>
            </w:r>
          </w:p>
        </w:tc>
        <w:tc>
          <w:tcPr/>
          <w:p>
            <w:pPr>
              <w:pStyle w:val="Compact"/>
              <w:jc w:val="left"/>
            </w:pPr>
            <w:r>
              <w:t xml:space="preserve">April 2023 – September 2023</w:t>
            </w:r>
          </w:p>
        </w:tc>
      </w:tr>
    </w:tbl>
    <w:bookmarkEnd w:id="22"/>
    <w:bookmarkStart w:id="23" w:name="methodology"/>
    <w:p>
      <w:pPr>
        <w:pStyle w:val="Heading2"/>
      </w:pPr>
      <w:r>
        <w:t xml:space="preserve">3. Methodology</w:t>
      </w:r>
    </w:p>
    <w:p>
      <w:pPr>
        <w:pStyle w:val="FirstParagraph"/>
      </w:pPr>
      <w:r>
        <w:t xml:space="preserve">The peer review process was conducted by a panel of three senior Radiologists, all of whom are Fellows of the RANZCR and currently practicing in New Zealand Auckland. The methodology adhered to the "Good Medical Practice" guidelines.</w:t>
      </w:r>
    </w:p>
    <w:p>
      <w:pPr>
        <w:pStyle w:val="BodyText"/>
      </w:pPr>
      <w:r>
        <w:t xml:space="preserve">Cases were selected using a stratified random sampling method to ensure representation across different subspecialties, including neuroradiology, musculoskeletal, and abdominal imaging. Each case was reviewed independently by the panel members. Discrepancies between the original report by the subject Radiologist and the consensus of the peer reviewers were categorized as follows:</w:t>
      </w:r>
    </w:p>
    <w:p>
      <w:pPr>
        <w:numPr>
          <w:ilvl w:val="0"/>
          <w:numId w:val="1001"/>
        </w:numPr>
        <w:pStyle w:val="Compact"/>
      </w:pPr>
      <w:r>
        <w:rPr>
          <w:bCs/>
          <w:b/>
        </w:rPr>
        <w:t xml:space="preserve">Category A:</w:t>
      </w:r>
      <w:r>
        <w:t xml:space="preserve"> </w:t>
      </w:r>
      <w:r>
        <w:t xml:space="preserve">No discrepancy or minor discrepancy with no clinical impact.</w:t>
      </w:r>
    </w:p>
    <w:p>
      <w:pPr>
        <w:numPr>
          <w:ilvl w:val="0"/>
          <w:numId w:val="1001"/>
        </w:numPr>
        <w:pStyle w:val="Compact"/>
      </w:pPr>
      <w:r>
        <w:rPr>
          <w:bCs/>
          <w:b/>
        </w:rPr>
        <w:t xml:space="preserve">Category B:</w:t>
      </w:r>
      <w:r>
        <w:t xml:space="preserve"> </w:t>
      </w:r>
      <w:r>
        <w:t xml:space="preserve">Moderate discrepancy that might alter management but did not result in patient harm.</w:t>
      </w:r>
    </w:p>
    <w:p>
      <w:pPr>
        <w:numPr>
          <w:ilvl w:val="0"/>
          <w:numId w:val="1001"/>
        </w:numPr>
        <w:pStyle w:val="Compact"/>
      </w:pPr>
      <w:r>
        <w:rPr>
          <w:bCs/>
          <w:b/>
        </w:rPr>
        <w:t xml:space="preserve">Category C:</w:t>
      </w:r>
      <w:r>
        <w:t xml:space="preserve"> </w:t>
      </w:r>
      <w:r>
        <w:t xml:space="preserve">Major discrepancy that significantly altered management or posed a risk of patient harm.</w:t>
      </w:r>
    </w:p>
    <w:bookmarkEnd w:id="23"/>
    <w:bookmarkStart w:id="26" w:name="clinical-performance-analysis"/>
    <w:p>
      <w:pPr>
        <w:pStyle w:val="Heading2"/>
      </w:pPr>
      <w:r>
        <w:t xml:space="preserve">4. Clinical Performance Analysis</w:t>
      </w:r>
    </w:p>
    <w:bookmarkStart w:id="24" w:name="diagnostic-accuracy"/>
    <w:p>
      <w:pPr>
        <w:pStyle w:val="Heading3"/>
      </w:pPr>
      <w:r>
        <w:t xml:space="preserve">4.1 Diagnostic Accuracy</w:t>
      </w:r>
    </w:p>
    <w:p>
      <w:pPr>
        <w:pStyle w:val="FirstParagraph"/>
      </w:pPr>
      <w:r>
        <w:t xml:space="preserve">The review of the 120 cases indicated a high level of diagnostic competence. The Radiologist demonstrated a strong command of cross-sectional anatomy and pathology relevant to the diverse patient demographic in Auckland.</w:t>
      </w:r>
    </w:p>
    <w:p>
      <w:pPr>
        <w:pStyle w:val="BodyText"/>
      </w:pPr>
      <w:r>
        <w:t xml:space="preserve">Out of the 120 cases reviewed:</w:t>
      </w:r>
    </w:p>
    <w:p>
      <w:pPr>
        <w:numPr>
          <w:ilvl w:val="0"/>
          <w:numId w:val="1002"/>
        </w:numPr>
        <w:pStyle w:val="Compact"/>
      </w:pPr>
      <w:r>
        <w:t xml:space="preserve">105 cases (87.5%) were classified as Category A.</w:t>
      </w:r>
    </w:p>
    <w:p>
      <w:pPr>
        <w:numPr>
          <w:ilvl w:val="0"/>
          <w:numId w:val="1002"/>
        </w:numPr>
        <w:pStyle w:val="Compact"/>
      </w:pPr>
      <w:r>
        <w:t xml:space="preserve">12 cases (10%) were classified as Category B.</w:t>
      </w:r>
    </w:p>
    <w:p>
      <w:pPr>
        <w:numPr>
          <w:ilvl w:val="0"/>
          <w:numId w:val="1002"/>
        </w:numPr>
        <w:pStyle w:val="Compact"/>
      </w:pPr>
      <w:r>
        <w:t xml:space="preserve">3 cases (2.5%) were classified as Category C.</w:t>
      </w:r>
    </w:p>
    <w:p>
      <w:pPr>
        <w:pStyle w:val="FirstParagraph"/>
      </w:pPr>
      <w:r>
        <w:t xml:space="preserve">The Category C cases involved subtle findings in abdominal CT scans where early signs of malignancy were initially under-reported. However, subsequent follow-up imaging corrected these findings before significant clinical detriment occurred. This rate of major discrepancy is within the acceptable range for general diagnostic radiology, though it highlights an area for focused improvement.</w:t>
      </w:r>
    </w:p>
    <w:bookmarkEnd w:id="24"/>
    <w:bookmarkStart w:id="25" w:name="reporting-quality-and-clarity"/>
    <w:p>
      <w:pPr>
        <w:pStyle w:val="Heading3"/>
      </w:pPr>
      <w:r>
        <w:t xml:space="preserve">4.2 Reporting Quality and Clarity</w:t>
      </w:r>
    </w:p>
    <w:p>
      <w:pPr>
        <w:pStyle w:val="FirstParagraph"/>
      </w:pPr>
      <w:r>
        <w:t xml:space="preserve">The reports generated by the Radiologist were generally clear, concise, and structured according to the standard templates used in New Zealand Auckland imaging facilities. The use of standardized terminology (such as LI-RADS for liver lesions and BI-RADS for breast imaging) was consistent.</w:t>
      </w:r>
    </w:p>
    <w:p>
      <w:pPr>
        <w:pStyle w:val="BodyText"/>
      </w:pPr>
      <w:r>
        <w:t xml:space="preserve">However, the peer reviewers noted that in some complex musculoskeletal MRI cases, the recommendations for further management were occasionally vague. In the fast-paced environment of Auckland's healthcare system, clear, actionable recommendations are vital for referring clinicians. The Radiologist is advised to ensure that every report concludes with a definitive recommendation or a clear request for further clinical correlation.</w:t>
      </w:r>
    </w:p>
    <w:bookmarkEnd w:id="25"/>
    <w:bookmarkEnd w:id="26"/>
    <w:bookmarkStart w:id="27" w:name="professional-conduct-and-communication"/>
    <w:p>
      <w:pPr>
        <w:pStyle w:val="Heading2"/>
      </w:pPr>
      <w:r>
        <w:t xml:space="preserve">5. Professional Conduct and Communication</w:t>
      </w:r>
    </w:p>
    <w:p>
      <w:pPr>
        <w:pStyle w:val="FirstParagraph"/>
      </w:pPr>
      <w:r>
        <w:t xml:space="preserve">A critical component of this Peer Review Report is the assessment of professional behavior. The Radiologist was commended for their responsiveness to urgent queries from referring physicians. In the context of New Zealand Auckland, where communication between public and private sectors is frequent, the Radiologist demonstrated excellent collaboration skills.</w:t>
      </w:r>
    </w:p>
    <w:p>
      <w:pPr>
        <w:pStyle w:val="BodyText"/>
      </w:pPr>
      <w:r>
        <w:t xml:space="preserve">There were no complaints regarding patient safety, confidentiality breaches, or unprofessional conduct during the review period. The Radiologist actively participates in departmental multidisciplinary team (MDT) meetings, contributing valuable insights to patient care plans.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support the continued professional development of the Radiologist:</w:t>
      </w:r>
    </w:p>
    <w:p>
      <w:pPr>
        <w:numPr>
          <w:ilvl w:val="0"/>
          <w:numId w:val="1003"/>
        </w:numPr>
        <w:pStyle w:val="Compact"/>
      </w:pPr>
      <w:r>
        <w:rPr>
          <w:bCs/>
          <w:b/>
        </w:rPr>
        <w:t xml:space="preserve">Targeted Education:</w:t>
      </w:r>
      <w:r>
        <w:t xml:space="preserve"> </w:t>
      </w:r>
      <w:r>
        <w:t xml:space="preserve">Engage in additional case-based learning focused on early detection of abdominal malignancies to reduce Category C discrepancies.</w:t>
      </w:r>
    </w:p>
    <w:p>
      <w:pPr>
        <w:numPr>
          <w:ilvl w:val="0"/>
          <w:numId w:val="1003"/>
        </w:numPr>
        <w:pStyle w:val="Compact"/>
      </w:pPr>
      <w:r>
        <w:rPr>
          <w:bCs/>
          <w:b/>
        </w:rPr>
        <w:t xml:space="preserve">Reporting Standardization:</w:t>
      </w:r>
      <w:r>
        <w:t xml:space="preserve"> </w:t>
      </w:r>
      <w:r>
        <w:t xml:space="preserve">Refine reporting templates for musculoskeletal imaging to ensure recommendations are explicit and actionable.</w:t>
      </w:r>
    </w:p>
    <w:p>
      <w:pPr>
        <w:numPr>
          <w:ilvl w:val="0"/>
          <w:numId w:val="1003"/>
        </w:numPr>
        <w:pStyle w:val="Compact"/>
      </w:pPr>
      <w:r>
        <w:rPr>
          <w:bCs/>
          <w:b/>
        </w:rPr>
        <w:t xml:space="preserve">Ongoing Peer Review:</w:t>
      </w:r>
      <w:r>
        <w:t xml:space="preserve"> </w:t>
      </w:r>
      <w:r>
        <w:t xml:space="preserve">Continue participation in regular peer review cycles as mandated by the Medical Council of New Zealand to maintain high standards of practice.</w:t>
      </w:r>
    </w:p>
    <w:p>
      <w:pPr>
        <w:numPr>
          <w:ilvl w:val="0"/>
          <w:numId w:val="1003"/>
        </w:numPr>
        <w:pStyle w:val="Compact"/>
      </w:pPr>
      <w:r>
        <w:rPr>
          <w:bCs/>
          <w:b/>
        </w:rPr>
        <w:t xml:space="preserve">Mentorship:</w:t>
      </w:r>
      <w:r>
        <w:t xml:space="preserve"> </w:t>
      </w:r>
      <w:r>
        <w:t xml:space="preserve">Consider taking on a mentorship role for junior radiologists in Auckland, as this can reinforce best practices and improve overall reporting consistency.</w:t>
      </w:r>
    </w:p>
    <w:bookmarkEnd w:id="28"/>
    <w:bookmarkStart w:id="29" w:name="conclusion"/>
    <w:p>
      <w:pPr>
        <w:pStyle w:val="Heading2"/>
      </w:pPr>
      <w:r>
        <w:t xml:space="preserve">7. Conclusion</w:t>
      </w:r>
    </w:p>
    <w:p>
      <w:pPr>
        <w:pStyle w:val="FirstParagraph"/>
      </w:pPr>
      <w:r>
        <w:t xml:space="preserve">This Peer Review Report concludes that the Radiologist is performing at a standard consistent with their qualifications and the expectations of the medical community in New Zealand Auckland. While there are minor areas for improvement regarding specific diagnostic subtleties and reporting clarity, the overall performance is satisfactory. The Radiologist demonstrates a commitment to patient safety and professional excellence.</w:t>
      </w:r>
    </w:p>
    <w:p>
      <w:pPr>
        <w:pStyle w:val="BodyText"/>
      </w:pPr>
      <w:r>
        <w:t xml:space="preserve">It is the consensus of the review panel that no further disciplinary action is required at this time. The recommendations outlined above are intended to be supportive and constructive, aiming to further enhance the quality of radiological services provided to the community.</w:t>
      </w:r>
    </w:p>
    <w:bookmarkEnd w:id="29"/>
    <w:bookmarkStart w:id="30" w:name="review-panel-signatures"/>
    <w:p>
      <w:pPr>
        <w:pStyle w:val="Heading3"/>
      </w:pPr>
      <w:r>
        <w:t xml:space="preserve">Review Panel Signatures</w:t>
      </w:r>
    </w:p>
    <w:p>
      <w:pPr>
        <w:pStyle w:val="FirstParagraph"/>
      </w:pPr>
      <w:r>
        <w:rPr>
          <w:bCs/>
          <w:b/>
        </w:rPr>
        <w:t xml:space="preserve">Lead Reviewer:</w:t>
      </w:r>
    </w:p>
    <w:p>
      <w:pPr>
        <w:pStyle w:val="BodyText"/>
      </w:pPr>
      <w:r>
        <w:t xml:space="preserve">Dr. [Name], FRANZCR</w:t>
      </w:r>
    </w:p>
    <w:p>
      <w:pPr>
        <w:pStyle w:val="BodyText"/>
      </w:pPr>
      <w:r>
        <w:rPr>
          <w:bCs/>
          <w:b/>
        </w:rPr>
        <w:t xml:space="preserve">Reviewer 2:</w:t>
      </w:r>
    </w:p>
    <w:p>
      <w:pPr>
        <w:pStyle w:val="BodyText"/>
      </w:pPr>
      <w:r>
        <w:t xml:space="preserve">Dr. [Name], FRANZCR</w:t>
      </w:r>
    </w:p>
    <w:p>
      <w:pPr>
        <w:pStyle w:val="BodyText"/>
      </w:pPr>
      <w:r>
        <w:rPr>
          <w:bCs/>
          <w:b/>
        </w:rPr>
        <w:t xml:space="preserve">Reviewer 3:</w:t>
      </w:r>
    </w:p>
    <w:p>
      <w:pPr>
        <w:pStyle w:val="BodyText"/>
      </w:pPr>
      <w:r>
        <w:t xml:space="preserve">Dr. [Name], FRANZCR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Radiologist - Auckland, New Zealand</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