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0" w:name="peer-review-report"/>
    <w:p>
      <w:pPr>
        <w:pStyle w:val="Heading1"/>
      </w:pPr>
      <w:r>
        <w:t xml:space="preserve">Peer Review Report</w:t>
      </w:r>
    </w:p>
    <w:p>
      <w:pPr>
        <w:pStyle w:val="FirstParagraph"/>
      </w:pPr>
      <w:r>
        <w:t xml:space="preserve">Technical Competency and Professional Performance Evaluation</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Subject Role:</w:t>
      </w:r>
      <w:r>
        <w:t xml:space="preserve"> </w:t>
      </w:r>
      <w:r>
        <w:t xml:space="preserve">Senior Robotics Engineer</w:t>
      </w:r>
    </w:p>
    <w:p>
      <w:pPr>
        <w:pStyle w:val="BodyText"/>
      </w:pPr>
      <w:r>
        <w:rPr>
          <w:bCs/>
          <w:b/>
        </w:rPr>
        <w:t xml:space="preserve">Location:</w:t>
      </w:r>
      <w:r>
        <w:t xml:space="preserve"> </w:t>
      </w:r>
      <w:r>
        <w:t xml:space="preserve">Beijing, China (Haidian District Tech Park)</w:t>
      </w:r>
    </w:p>
    <w:p>
      <w:pPr>
        <w:pStyle w:val="BodyText"/>
      </w:pPr>
      <w:r>
        <w:rPr>
          <w:bCs/>
          <w:b/>
        </w:rPr>
        <w:t xml:space="preserve">Reviewer Name:</w:t>
      </w:r>
      <w:r>
        <w:t xml:space="preserve"> </w:t>
      </w:r>
      <w:r>
        <w:t xml:space="preserve">Dr. Li Wei, Lead Systems Architect</w:t>
      </w:r>
    </w:p>
    <w:p>
      <w:pPr>
        <w:pStyle w:val="BodyText"/>
      </w:pPr>
      <w:r>
        <w:rPr>
          <w:bCs/>
          <w:b/>
        </w:rPr>
        <w:t xml:space="preserve">Department:</w:t>
      </w:r>
      <w:r>
        <w:t xml:space="preserve"> </w:t>
      </w:r>
      <w:r>
        <w:t xml:space="preserve">Advanced Automation &amp; AI Integration</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contributions, engineering methodologies, and collaborative performance of the subject</w:t>
      </w:r>
      <w:r>
        <w:t xml:space="preserve"> </w:t>
      </w:r>
      <w:r>
        <w:rPr>
          <w:bCs/>
          <w:b/>
        </w:rPr>
        <w:t xml:space="preserve">Robotics Engineer</w:t>
      </w:r>
      <w:r>
        <w:t xml:space="preserve">. The review is conducted within the context of our advanced manufacturing and autonomous systems division located in</w:t>
      </w:r>
      <w:r>
        <w:t xml:space="preserve"> </w:t>
      </w:r>
      <w:r>
        <w:rPr>
          <w:bCs/>
          <w:b/>
        </w:rPr>
        <w:t xml:space="preserve">China Beijing</w:t>
      </w:r>
      <w:r>
        <w:t xml:space="preserve">. Beijing represents a critical hub for technological innovation in the Asia-Pacific region, and the standards applied here reflect the high-velocity, high-precision requirements of the local robotics ecosystem.</w:t>
      </w:r>
    </w:p>
    <w:p>
      <w:pPr>
        <w:pStyle w:val="BodyText"/>
      </w:pPr>
      <w:r>
        <w:t xml:space="preserve">The subject has demonstrated exceptional proficiency in kinematic modeling, real-time control systems, and sensor fusion. Their work directly supports our strategic objectives to integrate Industry 4.0 standards into local production lines. This report details specific technical achievements, areas for professional growth, and an overall assessment of their fit within the Beijing engineering culture.</w:t>
      </w:r>
    </w:p>
    <w:bookmarkEnd w:id="21"/>
    <w:bookmarkStart w:id="22" w:name="Xa95239de210ff6a0228e9cfd7f9d098561a47b8"/>
    <w:p>
      <w:pPr>
        <w:pStyle w:val="Heading2"/>
      </w:pPr>
      <w:r>
        <w:t xml:space="preserve">2. Technical Competency and Engineering Rigor</w:t>
      </w:r>
    </w:p>
    <w:p>
      <w:pPr>
        <w:pStyle w:val="FirstParagraph"/>
      </w:pPr>
      <w:r>
        <w:t xml:space="preserve">As a</w:t>
      </w:r>
      <w:r>
        <w:t xml:space="preserve"> </w:t>
      </w:r>
      <w:r>
        <w:rPr>
          <w:bCs/>
          <w:b/>
        </w:rPr>
        <w:t xml:space="preserve">Robotics Engineer</w:t>
      </w:r>
      <w:r>
        <w:t xml:space="preserve"> </w:t>
      </w:r>
      <w:r>
        <w:t xml:space="preserve">operating in</w:t>
      </w:r>
      <w:r>
        <w:t xml:space="preserve"> </w:t>
      </w:r>
      <w:r>
        <w:rPr>
          <w:bCs/>
          <w:b/>
        </w:rPr>
        <w:t xml:space="preserve">China Beijing</w:t>
      </w:r>
      <w:r>
        <w:t xml:space="preserve">, the subject is expected to navigate complex hardware-software integration challenges. The review highlights the following technical strengths:</w:t>
      </w:r>
    </w:p>
    <w:p>
      <w:pPr>
        <w:numPr>
          <w:ilvl w:val="0"/>
          <w:numId w:val="1001"/>
        </w:numPr>
        <w:pStyle w:val="Compact"/>
      </w:pPr>
      <w:r>
        <w:rPr>
          <w:bCs/>
          <w:b/>
        </w:rPr>
        <w:t xml:space="preserve">Control Systems Architecture:</w:t>
      </w:r>
      <w:r>
        <w:t xml:space="preserve"> </w:t>
      </w:r>
      <w:r>
        <w:t xml:space="preserve">The engineer successfully redesigned the PID control loops for our collaborative robotic arms (cobots). This optimization reduced positional error by 15% and significantly improved cycle times on the assembly floor. The implementation of adaptive control algorithms demonstrated a deep understanding of dynamic system behaviors.</w:t>
      </w:r>
    </w:p>
    <w:p>
      <w:pPr>
        <w:numPr>
          <w:ilvl w:val="0"/>
          <w:numId w:val="1001"/>
        </w:numPr>
        <w:pStyle w:val="Compact"/>
      </w:pPr>
      <w:r>
        <w:rPr>
          <w:bCs/>
          <w:b/>
        </w:rPr>
        <w:t xml:space="preserve">ROS2 Implementation:</w:t>
      </w:r>
      <w:r>
        <w:t xml:space="preserve"> </w:t>
      </w:r>
      <w:r>
        <w:t xml:space="preserve">The subject led the migration of legacy ROS1 nodes to ROS2 (Humble Hawksbill), ensuring deterministic communication across distributed systems. This was crucial for maintaining low-latency operations required by our autonomous mobile robots (AMRs) navigating the busy logistics centers in Beijing.</w:t>
      </w:r>
    </w:p>
    <w:p>
      <w:pPr>
        <w:numPr>
          <w:ilvl w:val="0"/>
          <w:numId w:val="1001"/>
        </w:numPr>
        <w:pStyle w:val="Compact"/>
      </w:pPr>
      <w:r>
        <w:rPr>
          <w:bCs/>
          <w:b/>
        </w:rPr>
        <w:t xml:space="preserve">Computer Vision Integration:</w:t>
      </w:r>
      <w:r>
        <w:t xml:space="preserve"> </w:t>
      </w:r>
      <w:r>
        <w:t xml:space="preserve">Leveraging local partnerships with AI research institutes in Beijing, the engineer integrated advanced object detection models (YOLOv8) into the robotic perception stack. This allowed for real-time defect detection with 99.2% accuracy, a key metric for our quality assurance protocols.</w:t>
      </w:r>
    </w:p>
    <w:p>
      <w:pPr>
        <w:pStyle w:val="FirstParagraph"/>
      </w:pPr>
      <w:r>
        <w:t xml:space="preserve">The code quality is exemplary, adhering strictly to C++17 standards and Python best practices. Documentation is thorough, facilitating knowledge transfer within the multinational team based in Beijing.</w:t>
      </w:r>
    </w:p>
    <w:bookmarkEnd w:id="22"/>
    <w:bookmarkStart w:id="23" w:name="project-impact-and-innovation"/>
    <w:p>
      <w:pPr>
        <w:pStyle w:val="Heading2"/>
      </w:pPr>
      <w:r>
        <w:t xml:space="preserve">3. Project Impact and Innovation</w:t>
      </w:r>
    </w:p>
    <w:p>
      <w:pPr>
        <w:pStyle w:val="FirstParagraph"/>
      </w:pPr>
      <w:r>
        <w:t xml:space="preserve">The role of a</w:t>
      </w:r>
      <w:r>
        <w:t xml:space="preserve"> </w:t>
      </w:r>
      <w:r>
        <w:rPr>
          <w:bCs/>
          <w:b/>
        </w:rPr>
        <w:t xml:space="preserve">Robotics Engineer</w:t>
      </w:r>
      <w:r>
        <w:t xml:space="preserve"> </w:t>
      </w:r>
      <w:r>
        <w:t xml:space="preserve">in this region demands not just maintenance of systems, but active innovation. The subject contributed significantly to the "Smart Factory 2025" pilot project. By optimizing the path planning algorithms using A* and RRT* hybrid approaches, the engineer reduced energy consumption of the fleet by 10%.</w:t>
      </w:r>
    </w:p>
    <w:p>
      <w:pPr>
        <w:pStyle w:val="BodyText"/>
      </w:pPr>
      <w:r>
        <w:t xml:space="preserve">Furthermore, the engineer demonstrated agility in adapting to local supply chain constraints. When specific LiDAR sensors faced import delays, the subject rapidly prototyped a solution using stereo vision and depth cameras, ensuring project timelines were met without compromising safety standards. This adaptability is highly valued in the fast-paced environment of</w:t>
      </w:r>
      <w:r>
        <w:t xml:space="preserve"> </w:t>
      </w:r>
      <w:r>
        <w:rPr>
          <w:bCs/>
          <w:b/>
        </w:rPr>
        <w:t xml:space="preserve">China Beijing</w:t>
      </w:r>
      <w:r>
        <w:t xml:space="preserve">.</w:t>
      </w:r>
    </w:p>
    <w:bookmarkEnd w:id="23"/>
    <w:bookmarkStart w:id="24" w:name="collaboration-and-communication"/>
    <w:p>
      <w:pPr>
        <w:pStyle w:val="Heading2"/>
      </w:pPr>
      <w:r>
        <w:t xml:space="preserve">4. Collaboration and Communication</w:t>
      </w:r>
    </w:p>
    <w:p>
      <w:pPr>
        <w:pStyle w:val="FirstParagraph"/>
      </w:pPr>
      <w:r>
        <w:t xml:space="preserve">Effective communication is vital in a diverse engineering environment. The subject has shown strong interpersonal skills, bridging the gap between mechanical design teams and software developers. During weekly sprint reviews, the</w:t>
      </w:r>
      <w:r>
        <w:t xml:space="preserve"> </w:t>
      </w:r>
      <w:r>
        <w:rPr>
          <w:bCs/>
          <w:b/>
        </w:rPr>
        <w:t xml:space="preserve">Robotics Engineer</w:t>
      </w:r>
      <w:r>
        <w:t xml:space="preserve"> </w:t>
      </w:r>
      <w:r>
        <w:t xml:space="preserve">clearly articulated technical risks and proposed viable mitigation strategies.</w:t>
      </w:r>
    </w:p>
    <w:p>
      <w:pPr>
        <w:pStyle w:val="BodyText"/>
      </w:pPr>
      <w:r>
        <w:t xml:space="preserve">The engineer actively participates in local technical meetups and hackathons in Beijing, bringing fresh insights and industry trends back to the team. This engagement fosters a culture of continuous learning and keeps the department at the forefront of robotics technology.</w:t>
      </w:r>
    </w:p>
    <w:bookmarkEnd w:id="24"/>
    <w:bookmarkStart w:id="25" w:name="areas-for-development"/>
    <w:p>
      <w:pPr>
        <w:pStyle w:val="Heading2"/>
      </w:pPr>
      <w:r>
        <w:t xml:space="preserve">5. Areas for Development</w:t>
      </w:r>
    </w:p>
    <w:p>
      <w:pPr>
        <w:pStyle w:val="FirstParagraph"/>
      </w:pPr>
      <w:r>
        <w:t xml:space="preserve">While the performance is outstanding, this</w:t>
      </w:r>
      <w:r>
        <w:t xml:space="preserve"> </w:t>
      </w:r>
      <w:r>
        <w:rPr>
          <w:bCs/>
          <w:b/>
        </w:rPr>
        <w:t xml:space="preserve">Peer Review Report</w:t>
      </w:r>
      <w:r>
        <w:t xml:space="preserve"> </w:t>
      </w:r>
      <w:r>
        <w:t xml:space="preserve">identifies specific areas for further enhancement:</w:t>
      </w:r>
    </w:p>
    <w:p>
      <w:pPr>
        <w:numPr>
          <w:ilvl w:val="0"/>
          <w:numId w:val="1002"/>
        </w:numPr>
        <w:pStyle w:val="Compact"/>
      </w:pPr>
      <w:r>
        <w:rPr>
          <w:bCs/>
          <w:b/>
        </w:rPr>
        <w:t xml:space="preserve">Regulatory Compliance:</w:t>
      </w:r>
      <w:r>
        <w:t xml:space="preserve"> </w:t>
      </w:r>
      <w:r>
        <w:t xml:space="preserve">The engineer should deepen their knowledge of China’s specific safety standards for industrial robots (GB/T standards). While technical safety is robust, formal certification processes require closer attention to local regulatory nuances.</w:t>
      </w:r>
    </w:p>
    <w:p>
      <w:pPr>
        <w:numPr>
          <w:ilvl w:val="0"/>
          <w:numId w:val="1002"/>
        </w:numPr>
        <w:pStyle w:val="Compact"/>
      </w:pPr>
      <w:r>
        <w:rPr>
          <w:bCs/>
          <w:b/>
        </w:rPr>
        <w:t xml:space="preserve">Scalability Planning:</w:t>
      </w:r>
      <w:r>
        <w:t xml:space="preserve"> </w:t>
      </w:r>
      <w:r>
        <w:t xml:space="preserve">As systems grow in complexity, the engineer needs to focus more on long-term scalability of the middleware architecture to support hundreds of concurrent robots in future deployments.</w:t>
      </w:r>
    </w:p>
    <w:bookmarkEnd w:id="25"/>
    <w:bookmarkStart w:id="26" w:name="conclusion-and-recommendation"/>
    <w:p>
      <w:pPr>
        <w:pStyle w:val="Heading2"/>
      </w:pPr>
      <w:r>
        <w:t xml:space="preserve">6. Conclusion and Recommendation</w:t>
      </w:r>
    </w:p>
    <w:p>
      <w:pPr>
        <w:pStyle w:val="FirstParagraph"/>
      </w:pPr>
      <w:r>
        <w:rPr>
          <w:bCs/>
          <w:b/>
        </w:rPr>
        <w:t xml:space="preserve">Overall Rating:</w:t>
      </w:r>
      <w:r>
        <w:t xml:space="preserve"> </w:t>
      </w:r>
      <w:r>
        <w:t xml:space="preserve">Exceeds Expectations</w:t>
      </w:r>
    </w:p>
    <w:p>
      <w:pPr>
        <w:pStyle w:val="BodyText"/>
      </w:pPr>
      <w:r>
        <w:rPr>
          <w:bCs/>
          <w:b/>
        </w:rPr>
        <w:t xml:space="preserve">Technical Proficiency:</w:t>
      </w:r>
      <w:r>
        <w:t xml:space="preserve"> </w:t>
      </w:r>
      <w:r>
        <w:t xml:space="preserve">5/5</w:t>
      </w:r>
    </w:p>
    <w:p>
      <w:pPr>
        <w:pStyle w:val="BodyText"/>
      </w:pPr>
      <w:r>
        <w:rPr>
          <w:bCs/>
          <w:b/>
        </w:rPr>
        <w:t xml:space="preserve">Problem Solving:</w:t>
      </w:r>
      <w:r>
        <w:t xml:space="preserve"> </w:t>
      </w:r>
      <w:r>
        <w:t xml:space="preserve">5/5</w:t>
      </w:r>
    </w:p>
    <w:p>
      <w:pPr>
        <w:pStyle w:val="BodyText"/>
      </w:pPr>
      <w:r>
        <w:rPr>
          <w:bCs/>
          <w:b/>
        </w:rPr>
        <w:t xml:space="preserve">Team Collaboration:</w:t>
      </w:r>
      <w:r>
        <w:t xml:space="preserve"> </w:t>
      </w:r>
      <w:r>
        <w:t xml:space="preserve">4.5/5</w:t>
      </w:r>
    </w:p>
    <w:p>
      <w:pPr>
        <w:pStyle w:val="BodyText"/>
      </w:pPr>
      <w:r>
        <w:t xml:space="preserve">In conclusion, the subject is a highly valuable asset to our organization. Their expertise as a</w:t>
      </w:r>
      <w:r>
        <w:t xml:space="preserve"> </w:t>
      </w:r>
      <w:r>
        <w:rPr>
          <w:bCs/>
          <w:b/>
        </w:rPr>
        <w:t xml:space="preserve">Robotics Engineer</w:t>
      </w:r>
      <w:r>
        <w:t xml:space="preserve"> </w:t>
      </w:r>
      <w:r>
        <w:t xml:space="preserve">is instrumental in driving our technological capabilities forward in</w:t>
      </w:r>
      <w:r>
        <w:t xml:space="preserve"> </w:t>
      </w:r>
      <w:r>
        <w:rPr>
          <w:bCs/>
          <w:b/>
        </w:rPr>
        <w:t xml:space="preserve">China Beijing</w:t>
      </w:r>
      <w:r>
        <w:t xml:space="preserve">. The combination of strong theoretical knowledge, practical implementation skills, and cultural adaptability makes them an ideal candidate for leadership roles in upcoming autonomous systems projects.</w:t>
      </w:r>
    </w:p>
    <w:p>
      <w:pPr>
        <w:pStyle w:val="BodyText"/>
      </w:pPr>
      <w:r>
        <w:t xml:space="preserve">It is recommended that the engineer be considered for promotion to Lead Robotics Engineer and given ownership of the next-generation AMR development roadmap.</w:t>
      </w:r>
    </w:p>
    <w:p>
      <w:pPr>
        <w:pStyle w:val="BodyText"/>
      </w:pPr>
      <w:r>
        <w:rPr>
          <w:bCs/>
          <w:b/>
        </w:rPr>
        <w:t xml:space="preserve">Reviewer Signature:</w:t>
      </w:r>
    </w:p>
    <w:p>
      <w:pPr>
        <w:pStyle w:val="BodyText"/>
      </w:pPr>
      <w:r>
        <w:t xml:space="preserve">Dr. Li Wei</w:t>
      </w:r>
    </w:p>
    <w:p>
      <w:pPr>
        <w:pStyle w:val="BodyText"/>
      </w:pPr>
      <w:r>
        <w:t xml:space="preserve">Lead Systems Architect</w:t>
      </w:r>
    </w:p>
    <w:p>
      <w:pPr>
        <w:pStyle w:val="BodyText"/>
      </w:pPr>
      <w:r>
        <w:rPr>
          <w:bCs/>
          <w:b/>
        </w:rPr>
        <w:t xml:space="preserve">Subject Acknowledgement:</w:t>
      </w:r>
    </w:p>
    <w:p>
      <w:pPr>
        <w:pStyle w:val="BodyText"/>
      </w:pPr>
      <w:r>
        <w:t xml:space="preserve">[Employee Name]</w:t>
      </w:r>
    </w:p>
    <w:p>
      <w:pPr>
        <w:pStyle w:val="BodyText"/>
      </w:pPr>
      <w:r>
        <w:t xml:space="preserve">Robotics Engineer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2026-10-10T09:10:30Z</dcterms:created>
  <dcterms:modified xsi:type="dcterms:W3CDTF">2026-10-10T09:10:30Z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