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Technical Competency Assessment: Robotics Engineer</w:t>
      </w:r>
    </w:p>
    <w:bookmarkEnd w:id="20"/>
    <w:p>
      <w:pPr>
        <w:pStyle w:val="BodyText"/>
      </w:pPr>
      <w:r>
        <w:rPr>
          <w:bCs/>
          <w:b/>
        </w:rPr>
        <w:t xml:space="preserve">Date:</w:t>
      </w:r>
      <w:r>
        <w:t xml:space="preserve"> </w:t>
      </w:r>
      <w:r>
        <w:t xml:space="preserve">October 24, 2023</w:t>
      </w:r>
      <w:r>
        <w:br/>
      </w:r>
      <w:r>
        <w:rPr>
          <w:bCs/>
          <w:b/>
        </w:rPr>
        <w:t xml:space="preserve">Location:</w:t>
      </w:r>
      <w:r>
        <w:t xml:space="preserve"> </w:t>
      </w:r>
      <w:r>
        <w:t xml:space="preserve">Lyon, France</w:t>
      </w:r>
      <w:r>
        <w:br/>
      </w:r>
      <w:r>
        <w:rPr>
          <w:bCs/>
          <w:b/>
        </w:rPr>
        <w:t xml:space="preserve">Context:</w:t>
      </w:r>
      <w:r>
        <w:t xml:space="preserve"> </w:t>
      </w:r>
      <w:r>
        <w:t xml:space="preserve">Annual Technical Performance Review</w:t>
      </w:r>
    </w:p>
    <w:p>
      <w:pPr>
        <w:pStyle w:val="BodyText"/>
      </w:pPr>
      <w:r>
        <w:rPr>
          <w:bCs/>
          <w:b/>
        </w:rPr>
        <w:t xml:space="preserve">Subject:</w:t>
      </w:r>
      <w:r>
        <w:t xml:space="preserve"> </w:t>
      </w:r>
      <w:r>
        <w:t xml:space="preserve">Robotics Engineer (Senior)</w:t>
      </w:r>
      <w:r>
        <w:br/>
      </w:r>
      <w:r>
        <w:rPr>
          <w:bCs/>
          <w:b/>
        </w:rPr>
        <w:t xml:space="preserve">Reviewer:</w:t>
      </w:r>
      <w:r>
        <w:t xml:space="preserve"> </w:t>
      </w:r>
      <w:r>
        <w:t xml:space="preserve">Lead Systems Architect</w:t>
      </w:r>
      <w:r>
        <w:br/>
      </w:r>
      <w:r>
        <w:rPr>
          <w:bCs/>
          <w:b/>
        </w:rPr>
        <w:t xml:space="preserve">Department:</w:t>
      </w:r>
      <w:r>
        <w:t xml:space="preserve"> </w:t>
      </w:r>
      <w:r>
        <w:t xml:space="preserve">Advanced Automation &amp; AI</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technical performance, project contributions, and professional conduct of the subject</w:t>
      </w:r>
      <w:r>
        <w:t xml:space="preserve"> </w:t>
      </w:r>
      <w:r>
        <w:rPr>
          <w:bCs/>
          <w:b/>
        </w:rPr>
        <w:t xml:space="preserve">Robotics Engineer</w:t>
      </w:r>
      <w:r>
        <w:t xml:space="preserve"> </w:t>
      </w:r>
      <w:r>
        <w:t xml:space="preserve">based in our</w:t>
      </w:r>
      <w:r>
        <w:t xml:space="preserve"> </w:t>
      </w:r>
      <w:r>
        <w:rPr>
          <w:bCs/>
          <w:b/>
        </w:rPr>
        <w:t xml:space="preserve">France Lyon</w:t>
      </w:r>
      <w:r>
        <w:t xml:space="preserve"> </w:t>
      </w:r>
      <w:r>
        <w:t xml:space="preserve">development hub. Over the past review period, the engineer has demonstrated exceptional proficiency in the design, simulation, and deployment of autonomous robotic systems. Operating within the dynamic technological ecosystem of Lyon, known for its strong emphasis on engineering excellence and innovation, this individual has consistently aligned their technical output with both local industry standards and global best practices.</w:t>
      </w:r>
    </w:p>
    <w:p>
      <w:pPr>
        <w:pStyle w:val="BodyText"/>
      </w:pPr>
      <w:r>
        <w:t xml:space="preserve">The review focuses on core competencies including embedded systems programming, ROS (Robot Operating System) architecture, kinematic modeling, and collaborative team dynamics. The findings indicate a high level of technical maturity, particularly in bridging the gap between theoretical algorithms and practical hardware implementation.</w:t>
      </w:r>
    </w:p>
    <w:bookmarkEnd w:id="21"/>
    <w:bookmarkStart w:id="24" w:name="X130d72ae8fa5c458485556755864609f50d4eb2"/>
    <w:p>
      <w:pPr>
        <w:pStyle w:val="Heading2"/>
      </w:pPr>
      <w:r>
        <w:t xml:space="preserve">2. Technical Proficiency and Engineering Standards</w:t>
      </w:r>
    </w:p>
    <w:p>
      <w:pPr>
        <w:pStyle w:val="FirstParagraph"/>
      </w:pPr>
      <w:r>
        <w:t xml:space="preserve">As a</w:t>
      </w:r>
      <w:r>
        <w:t xml:space="preserve"> </w:t>
      </w:r>
      <w:r>
        <w:rPr>
          <w:bCs/>
          <w:b/>
        </w:rPr>
        <w:t xml:space="preserve">Robotics Engineer</w:t>
      </w:r>
      <w:r>
        <w:t xml:space="preserve">, the subject is expected to maintain rigorous standards in code quality, system safety, and hardware integration. In the context of our</w:t>
      </w:r>
      <w:r>
        <w:t xml:space="preserve"> </w:t>
      </w:r>
      <w:r>
        <w:rPr>
          <w:bCs/>
          <w:b/>
        </w:rPr>
        <w:t xml:space="preserve">France Lyon</w:t>
      </w:r>
      <w:r>
        <w:t xml:space="preserve"> </w:t>
      </w:r>
      <w:r>
        <w:t xml:space="preserve">operations, where precision manufacturing and logistics automation are key sectors, these skills are paramount.</w:t>
      </w:r>
    </w:p>
    <w:bookmarkStart w:id="22" w:name="software-and-algorithmic-implementation"/>
    <w:p>
      <w:pPr>
        <w:pStyle w:val="Heading3"/>
      </w:pPr>
      <w:r>
        <w:t xml:space="preserve">2.1 Software and Algorithmic Implementation</w:t>
      </w:r>
    </w:p>
    <w:p>
      <w:pPr>
        <w:pStyle w:val="FirstParagraph"/>
      </w:pPr>
      <w:r>
        <w:t xml:space="preserve">The engineer has exhibited advanced capabilities in C++ and Python, specifically within the ROS2 framework. Their recent work on the path-planning algorithms for our autonomous mobile robots (AMRs) showcased a deep understanding of navigation stacks and sensor fusion. The implementation of SLAM (Simultaneous Localization and Mapping) techniques was particularly noteworthy, resulting in a 15% improvement in localization accuracy in unstructured environments.</w:t>
      </w:r>
    </w:p>
    <w:bookmarkEnd w:id="22"/>
    <w:bookmarkStart w:id="23" w:name="X475ca8bf226fd2566dd83972d22561ac740d146"/>
    <w:p>
      <w:pPr>
        <w:pStyle w:val="Heading3"/>
      </w:pPr>
      <w:r>
        <w:t xml:space="preserve">2.2 Hardware Integration and Embedded Systems</w:t>
      </w:r>
    </w:p>
    <w:p>
      <w:pPr>
        <w:pStyle w:val="FirstParagraph"/>
      </w:pPr>
      <w:r>
        <w:t xml:space="preserve">Beyond software, the</w:t>
      </w:r>
      <w:r>
        <w:t xml:space="preserve"> </w:t>
      </w:r>
      <w:r>
        <w:rPr>
          <w:bCs/>
          <w:b/>
        </w:rPr>
        <w:t xml:space="preserve">Robotics Engineer</w:t>
      </w:r>
      <w:r>
        <w:t xml:space="preserve"> </w:t>
      </w:r>
      <w:r>
        <w:t xml:space="preserve">has demonstrated strong competency in embedded systems. They successfully managed the integration of LiDAR, depth cameras, and IMU sensors with custom PCBs. Their adherence to electrical safety standards and EMC (Electromagnetic Compatibility) regulations is fully compliant with European Union directives, a critical requirement for our operations in</w:t>
      </w:r>
      <w:r>
        <w:t xml:space="preserve"> </w:t>
      </w:r>
      <w:r>
        <w:rPr>
          <w:bCs/>
          <w:b/>
        </w:rPr>
        <w:t xml:space="preserve">France Lyon</w:t>
      </w:r>
      <w:r>
        <w:t xml:space="preserve"> </w:t>
      </w:r>
      <w:r>
        <w:t xml:space="preserve">and subsequent exports across the EU.</w:t>
      </w:r>
    </w:p>
    <w:bookmarkEnd w:id="23"/>
    <w:bookmarkEnd w:id="24"/>
    <w:bookmarkStart w:id="25" w:name="project-contributions-and-innovation"/>
    <w:p>
      <w:pPr>
        <w:pStyle w:val="Heading2"/>
      </w:pPr>
      <w:r>
        <w:t xml:space="preserve">3. Project Contributions and Innovation</w:t>
      </w:r>
    </w:p>
    <w:p>
      <w:pPr>
        <w:pStyle w:val="FirstParagraph"/>
      </w:pPr>
      <w:r>
        <w:t xml:space="preserve">This section evaluates the tangible impact of the</w:t>
      </w:r>
      <w:r>
        <w:t xml:space="preserve"> </w:t>
      </w:r>
      <w:r>
        <w:rPr>
          <w:bCs/>
          <w:b/>
        </w:rPr>
        <w:t xml:space="preserve">Robotics Engineer</w:t>
      </w:r>
      <w:r>
        <w:t xml:space="preserve">'s work on key organizational projects. The Lyon office serves as a primary R&amp;D center, and the subject has been instrumental in several high-priority initiatives.</w:t>
      </w:r>
    </w:p>
    <w:p>
      <w:pPr>
        <w:numPr>
          <w:ilvl w:val="0"/>
          <w:numId w:val="1001"/>
        </w:numPr>
        <w:pStyle w:val="Compact"/>
      </w:pPr>
      <w:r>
        <w:rPr>
          <w:bCs/>
          <w:b/>
        </w:rPr>
        <w:t xml:space="preserve">Autonomous Warehouse Logistics:</w:t>
      </w:r>
      <w:r>
        <w:t xml:space="preserve"> </w:t>
      </w:r>
      <w:r>
        <w:t xml:space="preserve">Led the development of a multi-robot coordination system that reduced collision incidents by 40%. This project required complex state-machine design and real-time communication protocols, executed flawlessly.</w:t>
      </w:r>
    </w:p>
    <w:p>
      <w:pPr>
        <w:numPr>
          <w:ilvl w:val="0"/>
          <w:numId w:val="1001"/>
        </w:numPr>
        <w:pStyle w:val="Compact"/>
      </w:pPr>
      <w:r>
        <w:rPr>
          <w:bCs/>
          <w:b/>
        </w:rPr>
        <w:t xml:space="preserve">Collaborative Robotics (Cobots):</w:t>
      </w:r>
      <w:r>
        <w:t xml:space="preserve"> </w:t>
      </w:r>
      <w:r>
        <w:t xml:space="preserve">Contributed to the safety certification of a new generation of cobots intended for assembly lines. The engineer's rigorous testing protocols ensured compliance with ISO/TS 15066 standards, facilitating faster time-to-market.</w:t>
      </w:r>
    </w:p>
    <w:p>
      <w:pPr>
        <w:numPr>
          <w:ilvl w:val="0"/>
          <w:numId w:val="1001"/>
        </w:numPr>
        <w:pStyle w:val="Compact"/>
      </w:pPr>
      <w:r>
        <w:rPr>
          <w:bCs/>
          <w:b/>
        </w:rPr>
        <w:t xml:space="preserve">Local Ecosystem Engagement:</w:t>
      </w:r>
      <w:r>
        <w:t xml:space="preserve"> </w:t>
      </w:r>
      <w:r>
        <w:t xml:space="preserve">Leveraged the vibrant tech community in</w:t>
      </w:r>
      <w:r>
        <w:t xml:space="preserve"> </w:t>
      </w:r>
      <w:r>
        <w:rPr>
          <w:bCs/>
          <w:b/>
        </w:rPr>
        <w:t xml:space="preserve">France Lyon</w:t>
      </w:r>
      <w:r>
        <w:t xml:space="preserve"> </w:t>
      </w:r>
      <w:r>
        <w:t xml:space="preserve">by collaborating with local research institutions on a grant-funded project regarding haptic feedback in teleoperation. This demonstrates an ability to integrate academic research into industrial applications.</w:t>
      </w:r>
    </w:p>
    <w:bookmarkEnd w:id="25"/>
    <w:bookmarkStart w:id="26" w:name="X67c72db8782542e349fb7950d6e5234a25ae776"/>
    <w:p>
      <w:pPr>
        <w:pStyle w:val="Heading2"/>
      </w:pPr>
      <w:r>
        <w:t xml:space="preserve">4. Professional Conduct and Team Collaboration</w:t>
      </w:r>
    </w:p>
    <w:p>
      <w:pPr>
        <w:pStyle w:val="FirstParagraph"/>
      </w:pPr>
      <w:r>
        <w:t xml:space="preserve">A</w:t>
      </w:r>
      <w:r>
        <w:t xml:space="preserve"> </w:t>
      </w:r>
      <w:r>
        <w:rPr>
          <w:bCs/>
          <w:b/>
        </w:rPr>
        <w:t xml:space="preserve">Robotics Engineer</w:t>
      </w:r>
      <w:r>
        <w:t xml:space="preserve"> </w:t>
      </w:r>
      <w:r>
        <w:t xml:space="preserve">rarely works in isolation; success depends on cross-functional collaboration with mechanical engineers, software developers, and product managers. The subject has been a positive force within the Lyon team.</w:t>
      </w:r>
    </w:p>
    <w:p>
      <w:pPr>
        <w:pStyle w:val="BodyText"/>
      </w:pPr>
      <w:r>
        <w:t xml:space="preserve">They actively participate in code reviews, providing constructive feedback that elevates the overall codebase quality. Their documentation practices are exemplary, ensuring that complex system architectures are well-documented for future maintenance. Furthermore, they have taken on a mentorship role for junior engineers, fostering a culture of continuous learning and technical excellence within the</w:t>
      </w:r>
      <w:r>
        <w:t xml:space="preserve"> </w:t>
      </w:r>
      <w:r>
        <w:rPr>
          <w:bCs/>
          <w:b/>
        </w:rPr>
        <w:t xml:space="preserve">France Lyon</w:t>
      </w:r>
      <w:r>
        <w:t xml:space="preserve"> </w:t>
      </w:r>
      <w:r>
        <w:t xml:space="preserve">office.</w:t>
      </w:r>
    </w:p>
    <w:bookmarkEnd w:id="26"/>
    <w:bookmarkStart w:id="27"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Robotics Engineer</w:t>
      </w:r>
      <w:r>
        <w:t xml:space="preserve"> </w:t>
      </w:r>
      <w:r>
        <w:t xml:space="preserve">is highly commendable, this</w:t>
      </w:r>
      <w:r>
        <w:t xml:space="preserve"> </w:t>
      </w:r>
      <w:r>
        <w:rPr>
          <w:bCs/>
          <w:b/>
        </w:rPr>
        <w:t xml:space="preserve">Peer Review Report</w:t>
      </w:r>
      <w:r>
        <w:t xml:space="preserve"> </w:t>
      </w:r>
      <w:r>
        <w:t xml:space="preserve">identifies specific areas for future growth to ensure continued career progression.</w:t>
      </w:r>
    </w:p>
    <w:p>
      <w:pPr>
        <w:numPr>
          <w:ilvl w:val="0"/>
          <w:numId w:val="1002"/>
        </w:numPr>
        <w:pStyle w:val="Compact"/>
      </w:pPr>
      <w:r>
        <w:rPr>
          <w:bCs/>
          <w:b/>
        </w:rPr>
        <w:t xml:space="preserve">Cloud Robotics and Edge Computing:</w:t>
      </w:r>
      <w:r>
        <w:t xml:space="preserve"> </w:t>
      </w:r>
      <w:r>
        <w:t xml:space="preserve">As our systems become more distributed, expanding expertise in cloud-native robotics architectures and edge AI deployment would be beneficial.</w:t>
      </w:r>
    </w:p>
    <w:p>
      <w:pPr>
        <w:numPr>
          <w:ilvl w:val="0"/>
          <w:numId w:val="1002"/>
        </w:numPr>
        <w:pStyle w:val="Compact"/>
      </w:pPr>
      <w:r>
        <w:rPr>
          <w:bCs/>
          <w:b/>
        </w:rPr>
        <w:t xml:space="preserve">Project Management:</w:t>
      </w:r>
      <w:r>
        <w:t xml:space="preserve"> </w:t>
      </w:r>
      <w:r>
        <w:t xml:space="preserve">Given their technical leadership, acquiring formal project management methodologies (such as Agile/Scrum certification) would enhance their ability to lead larger, cross-departmental initiatives.</w:t>
      </w:r>
    </w:p>
    <w:bookmarkEnd w:id="27"/>
    <w:bookmarkStart w:id="28" w:name="final-assessment-and-recommendation"/>
    <w:p>
      <w:pPr>
        <w:pStyle w:val="Heading2"/>
      </w:pPr>
      <w:r>
        <w:t xml:space="preserve">6. Final Assessment and Recommendation</w:t>
      </w:r>
    </w:p>
    <w:p>
      <w:pPr>
        <w:pStyle w:val="FirstParagraph"/>
      </w:pPr>
      <w:r>
        <w:rPr>
          <w:bCs/>
          <w:b/>
        </w:rPr>
        <w:t xml:space="preserve">Overall Technical Rating:</w:t>
      </w:r>
      <w:r>
        <w:t xml:space="preserve"> </w:t>
      </w:r>
      <w:r>
        <w:t xml:space="preserve">4.8 / 5.0</w:t>
      </w:r>
    </w:p>
    <w:p>
      <w:pPr>
        <w:pStyle w:val="BodyText"/>
      </w:pPr>
      <w:r>
        <w:rPr>
          <w:bCs/>
          <w:b/>
        </w:rPr>
        <w:t xml:space="preserve">Team Collaboration Rating:</w:t>
      </w:r>
      <w:r>
        <w:t xml:space="preserve"> </w:t>
      </w:r>
      <w:r>
        <w:t xml:space="preserve">5.0 / 5.0</w:t>
      </w:r>
    </w:p>
    <w:p>
      <w:pPr>
        <w:pStyle w:val="BodyText"/>
      </w:pPr>
      <w:r>
        <w:rPr>
          <w:bCs/>
          <w:b/>
        </w:rPr>
        <w:t xml:space="preserve">Innovation Rating:</w:t>
      </w:r>
      <w:r>
        <w:t xml:space="preserve"> </w:t>
      </w:r>
      <w:r>
        <w:t xml:space="preserve">4.5 / 5.0</w:t>
      </w:r>
    </w:p>
    <w:p>
      <w:pPr>
        <w:pStyle w:val="BodyText"/>
      </w:pPr>
      <w:r>
        <w:t xml:space="preserve">In conclusion, this</w:t>
      </w:r>
      <w:r>
        <w:t xml:space="preserve"> </w:t>
      </w:r>
      <w:r>
        <w:rPr>
          <w:bCs/>
          <w:b/>
        </w:rPr>
        <w:t xml:space="preserve">Peer Review Report</w:t>
      </w:r>
      <w:r>
        <w:t xml:space="preserve"> </w:t>
      </w:r>
      <w:r>
        <w:t xml:space="preserve">affirms that the subject is an outstanding</w:t>
      </w:r>
      <w:r>
        <w:t xml:space="preserve"> </w:t>
      </w:r>
      <w:r>
        <w:rPr>
          <w:bCs/>
          <w:b/>
        </w:rPr>
        <w:t xml:space="preserve">Robotics Engineer</w:t>
      </w:r>
      <w:r>
        <w:t xml:space="preserve"> </w:t>
      </w:r>
      <w:r>
        <w:t xml:space="preserve">who significantly contributes to the strategic goals of our organization. Their technical expertise, combined with their ability to navigate the specific regulatory and cultural landscape of</w:t>
      </w:r>
      <w:r>
        <w:t xml:space="preserve"> </w:t>
      </w:r>
      <w:r>
        <w:rPr>
          <w:bCs/>
          <w:b/>
        </w:rPr>
        <w:t xml:space="preserve">France Lyon</w:t>
      </w:r>
      <w:r>
        <w:t xml:space="preserve">, makes them an invaluable asset.</w:t>
      </w:r>
    </w:p>
    <w:p>
      <w:pPr>
        <w:pStyle w:val="BodyText"/>
      </w:pPr>
      <w:r>
        <w:t xml:space="preserve">It is the recommendation of this review panel that the engineer be considered for a promotion to Senior Principal Engineer and be entrusted with leading the upcoming R&amp;D initiative on swarm robotics. Their continued development in cloud integration and project leadership will further solidify their position as a key technical leader within our European operations.</w:t>
      </w:r>
    </w:p>
    <w:p>
      <w:pPr>
        <w:pStyle w:val="BodyText"/>
      </w:pPr>
      <w:r>
        <w:rPr>
          <w:bCs/>
          <w:b/>
        </w:rPr>
        <w:t xml:space="preserve">Report Prepared By:</w:t>
      </w:r>
    </w:p>
    <w:p>
      <w:pPr>
        <w:pStyle w:val="BodyText"/>
      </w:pPr>
      <w:r>
        <w:t xml:space="preserve">Dr. Jean-Luc Moreau</w:t>
      </w:r>
      <w:r>
        <w:br/>
      </w:r>
      <w:r>
        <w:t xml:space="preserve">Lead Systems Architect</w:t>
      </w:r>
      <w:r>
        <w:br/>
      </w:r>
      <w:r>
        <w:t xml:space="preserve">Robotics Division,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Lyon, France</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