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0" w:name="peer-review-report"/>
    <w:p>
      <w:pPr>
        <w:pStyle w:val="Heading1"/>
      </w:pPr>
      <w:r>
        <w:t xml:space="preserve">Peer Review Report</w:t>
      </w:r>
    </w:p>
    <w:p>
      <w:pPr>
        <w:pStyle w:val="FirstParagraph"/>
      </w:pPr>
      <w:r>
        <w:t xml:space="preserve">Technical Competency Assessment &amp; Professional Evaluation</w:t>
      </w:r>
    </w:p>
    <w:bookmarkEnd w:id="20"/>
    <w:p>
      <w:pPr>
        <w:pStyle w:val="BodyText"/>
      </w:pPr>
      <w:r>
        <w:rPr>
          <w:bCs/>
          <w:b/>
        </w:rPr>
        <w:t xml:space="preserve">Subject Role:</w:t>
      </w:r>
      <w:r>
        <w:t xml:space="preserve"> </w:t>
      </w:r>
      <w:r>
        <w:t xml:space="preserve">Robotics Engineer</w:t>
      </w:r>
    </w:p>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Italy Rome</w:t>
      </w:r>
    </w:p>
    <w:p>
      <w:pPr>
        <w:pStyle w:val="BodyText"/>
      </w:pPr>
      <w:r>
        <w:rPr>
          <w:bCs/>
          <w:b/>
        </w:rPr>
        <w:t xml:space="preserve">Reviewer ID:</w:t>
      </w:r>
      <w:r>
        <w:t xml:space="preserve"> </w:t>
      </w:r>
      <w:r>
        <w:t xml:space="preserve">PR-2023-IT-04</w:t>
      </w:r>
    </w:p>
    <w:p>
      <w:pPr>
        <w:pStyle w:val="BodyText"/>
      </w:pPr>
      <w:r>
        <w:rPr>
          <w:bCs/>
          <w:b/>
        </w:rPr>
        <w:t xml:space="preserve">Department:</w:t>
      </w:r>
      <w:r>
        <w:t xml:space="preserve"> </w:t>
      </w:r>
      <w:r>
        <w:t xml:space="preserve">Advanced Automation &amp; R&amp;D</w:t>
      </w:r>
    </w:p>
    <w:p>
      <w:pPr>
        <w:pStyle w:val="BodyText"/>
      </w:pPr>
      <w:r>
        <w:rPr>
          <w:bCs/>
          <w:b/>
        </w:rPr>
        <w:t xml:space="preserve">Project Context:</w:t>
      </w:r>
      <w:r>
        <w:t xml:space="preserve"> </w:t>
      </w:r>
      <w:r>
        <w:t xml:space="preserve">Autonomous Logistics Systems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capabilities, project contributions, and professional conduct of the subject</w:t>
      </w:r>
      <w:r>
        <w:t xml:space="preserve"> </w:t>
      </w:r>
      <w:r>
        <w:rPr>
          <w:bCs/>
          <w:b/>
        </w:rPr>
        <w:t xml:space="preserve">Robotics Engineer</w:t>
      </w:r>
      <w:r>
        <w:t xml:space="preserve">. The assessment is conducted within the specific operational and cultural context of</w:t>
      </w:r>
      <w:r>
        <w:t xml:space="preserve"> </w:t>
      </w:r>
      <w:r>
        <w:rPr>
          <w:bCs/>
          <w:b/>
        </w:rPr>
        <w:t xml:space="preserve">Italy Rome</w:t>
      </w:r>
      <w:r>
        <w:t xml:space="preserve">, where the intersection of historical infrastructure and cutting-edge technological innovation presents unique challenges and opportunities. The subject has demonstrated a high level of proficiency in mechatronics, control systems, and software integration, aligning effectively with the rigorous standards expected in the European robotics sector.</w:t>
      </w:r>
    </w:p>
    <w:p>
      <w:pPr>
        <w:pStyle w:val="BodyText"/>
      </w:pPr>
      <w:r>
        <w:t xml:space="preserve">The review focuses on the engineer's ability to navigate the complex regulatory environment of the Italian market while delivering robust, scalable robotic solutions. The evaluation covers technical architecture, safety compliance, interdisciplinary collaboration, and adaptability to the local work culture in Rome.</w:t>
      </w:r>
    </w:p>
    <w:bookmarkEnd w:id="21"/>
    <w:bookmarkStart w:id="23" w:name="X5f4563895dfe54a05c756996fa024289f75c2ee"/>
    <w:p>
      <w:pPr>
        <w:pStyle w:val="Heading2"/>
      </w:pPr>
      <w:r>
        <w:t xml:space="preserve">2. Technical Proficiency and Engineering Design</w:t>
      </w:r>
    </w:p>
    <w:p>
      <w:pPr>
        <w:pStyle w:val="FirstParagraph"/>
      </w:pPr>
      <w:r>
        <w:t xml:space="preserve">The core competency of a</w:t>
      </w:r>
      <w:r>
        <w:t xml:space="preserve"> </w:t>
      </w:r>
      <w:r>
        <w:rPr>
          <w:bCs/>
          <w:b/>
        </w:rPr>
        <w:t xml:space="preserve">Robotics Engineer</w:t>
      </w:r>
      <w:r>
        <w:t xml:space="preserve"> </w:t>
      </w:r>
      <w:r>
        <w:t xml:space="preserve">lies in the seamless integration of hardware and software. In this review, the subject exhibited exceptional skill in designing kinematic chains and selecting appropriate actuators for high-precision tasks. The engineering designs submitted for the recent automation project in the Rome industrial park showcased a deep understanding of dynamic modeling and real-time control algorithms.</w:t>
      </w:r>
    </w:p>
    <w:p>
      <w:pPr>
        <w:pStyle w:val="BodyText"/>
      </w:pPr>
      <w:r>
        <w:t xml:space="preserve">Specifically, the implementation of ROS (Robot Operating System) nodes was executed with high efficiency. The engineer successfully optimized communication latency between perception modules and actuation drivers, a critical factor for autonomous navigation in crowded urban environments typical of</w:t>
      </w:r>
      <w:r>
        <w:t xml:space="preserve"> </w:t>
      </w:r>
      <w:r>
        <w:rPr>
          <w:bCs/>
          <w:b/>
        </w:rPr>
        <w:t xml:space="preserve">Italy Rome</w:t>
      </w:r>
      <w:r>
        <w:t xml:space="preserve">. The codebase was well-documented, adhering to industry best practices, which facilitated easier maintenance and future scalability.</w:t>
      </w:r>
    </w:p>
    <w:bookmarkStart w:id="22" w:name="key-technical-strengths"/>
    <w:p>
      <w:pPr>
        <w:pStyle w:val="Heading3"/>
      </w:pPr>
      <w:r>
        <w:t xml:space="preserve">Key Technical Strengths:</w:t>
      </w:r>
    </w:p>
    <w:p>
      <w:pPr>
        <w:numPr>
          <w:ilvl w:val="0"/>
          <w:numId w:val="1001"/>
        </w:numPr>
        <w:pStyle w:val="Compact"/>
      </w:pPr>
      <w:r>
        <w:t xml:space="preserve">Advanced proficiency in C++ and Python for embedded systems.</w:t>
      </w:r>
    </w:p>
    <w:p>
      <w:pPr>
        <w:numPr>
          <w:ilvl w:val="0"/>
          <w:numId w:val="1001"/>
        </w:numPr>
        <w:pStyle w:val="Compact"/>
      </w:pPr>
      <w:r>
        <w:t xml:space="preserve">Strong grasp of computer vision algorithms for obstacle avoidance.</w:t>
      </w:r>
    </w:p>
    <w:p>
      <w:pPr>
        <w:numPr>
          <w:ilvl w:val="0"/>
          <w:numId w:val="1001"/>
        </w:numPr>
        <w:pStyle w:val="Compact"/>
      </w:pPr>
      <w:r>
        <w:t xml:space="preserve">Effective use of simulation tools (Gazebo, MATLAB) prior to physical deployment.</w:t>
      </w:r>
    </w:p>
    <w:bookmarkEnd w:id="22"/>
    <w:bookmarkEnd w:id="23"/>
    <w:bookmarkStart w:id="24" w:name="Xc1bf6019d7c7f546cd756b019a9b2d8bdab0c79"/>
    <w:p>
      <w:pPr>
        <w:pStyle w:val="Heading2"/>
      </w:pPr>
      <w:r>
        <w:t xml:space="preserve">3. Regulatory Compliance and Safety Standards</w:t>
      </w:r>
    </w:p>
    <w:p>
      <w:pPr>
        <w:pStyle w:val="FirstParagraph"/>
      </w:pPr>
      <w:r>
        <w:t xml:space="preserve">Operating in</w:t>
      </w:r>
      <w:r>
        <w:t xml:space="preserve"> </w:t>
      </w:r>
      <w:r>
        <w:rPr>
          <w:bCs/>
          <w:b/>
        </w:rPr>
        <w:t xml:space="preserve">Italy Rome</w:t>
      </w:r>
      <w:r>
        <w:t xml:space="preserve"> </w:t>
      </w:r>
      <w:r>
        <w:t xml:space="preserve">requires strict adherence to both national Italian regulations and broader European Union directives regarding machinery and artificial intelligence. A significant portion of this</w:t>
      </w:r>
      <w:r>
        <w:t xml:space="preserve"> </w:t>
      </w:r>
      <w:r>
        <w:rPr>
          <w:bCs/>
          <w:b/>
        </w:rPr>
        <w:t xml:space="preserve">Peer Review Report</w:t>
      </w:r>
      <w:r>
        <w:t xml:space="preserve"> </w:t>
      </w:r>
      <w:r>
        <w:t xml:space="preserve">is dedicated to evaluating the subject's compliance with these standards. The</w:t>
      </w:r>
      <w:r>
        <w:t xml:space="preserve"> </w:t>
      </w:r>
      <w:r>
        <w:rPr>
          <w:bCs/>
          <w:b/>
        </w:rPr>
        <w:t xml:space="preserve">Robotics Engineer</w:t>
      </w:r>
      <w:r>
        <w:t xml:space="preserve"> </w:t>
      </w:r>
      <w:r>
        <w:t xml:space="preserve">demonstrated a commendable awareness of the Machinery Directive (2006/42/EC) and the emerging AI Act.</w:t>
      </w:r>
    </w:p>
    <w:p>
      <w:pPr>
        <w:pStyle w:val="BodyText"/>
      </w:pPr>
      <w:r>
        <w:t xml:space="preserve">Safety is paramount in robotics, particularly when deploying systems in shared spaces. The engineer successfully conducted thorough risk assessments, identifying potential hazards related to moving parts and sensor failures. The safety protocols implemented included redundant emergency stop mechanisms and fail-safe software states, ensuring that the robotic systems could operate safely alongside human workers in the Roman industrial sector.</w:t>
      </w:r>
    </w:p>
    <w:bookmarkEnd w:id="24"/>
    <w:bookmarkStart w:id="25" w:name="project-management-and-collaboration"/>
    <w:p>
      <w:pPr>
        <w:pStyle w:val="Heading2"/>
      </w:pPr>
      <w:r>
        <w:t xml:space="preserve">4. Project Management and Collaboration</w:t>
      </w:r>
    </w:p>
    <w:p>
      <w:pPr>
        <w:pStyle w:val="FirstParagraph"/>
      </w:pPr>
      <w:r>
        <w:t xml:space="preserve">The role of a</w:t>
      </w:r>
      <w:r>
        <w:t xml:space="preserve"> </w:t>
      </w:r>
      <w:r>
        <w:rPr>
          <w:bCs/>
          <w:b/>
        </w:rPr>
        <w:t xml:space="preserve">Robotics Engineer</w:t>
      </w:r>
      <w:r>
        <w:t xml:space="preserve"> </w:t>
      </w:r>
      <w:r>
        <w:t xml:space="preserve">is inherently interdisciplinary, requiring constant collaboration with mechanical designers, software developers, and project managers. In the context of the Rome office, the subject displayed strong interpersonal skills and the ability to communicate complex technical concepts to non-technical stakeholders.</w:t>
      </w:r>
    </w:p>
    <w:p>
      <w:pPr>
        <w:pStyle w:val="BodyText"/>
      </w:pPr>
      <w:r>
        <w:t xml:space="preserve">The local work culture in</w:t>
      </w:r>
      <w:r>
        <w:t xml:space="preserve"> </w:t>
      </w:r>
      <w:r>
        <w:rPr>
          <w:bCs/>
          <w:b/>
        </w:rPr>
        <w:t xml:space="preserve">Italy Rome</w:t>
      </w:r>
      <w:r>
        <w:t xml:space="preserve"> </w:t>
      </w:r>
      <w:r>
        <w:t xml:space="preserve">often emphasizes relationship-building and consensus. The engineer adapted well to this environment, fostering positive relationships with local suppliers and university research partners. This adaptability was crucial in securing timely components and leveraging academic research for practical application. The subject actively participated in agile sprints, ensuring that milestones were met without compromising the quality of the engineering output.</w:t>
      </w:r>
    </w:p>
    <w:bookmarkEnd w:id="25"/>
    <w:bookmarkStart w:id="26" w:name="innovation-and-problem-solving"/>
    <w:p>
      <w:pPr>
        <w:pStyle w:val="Heading2"/>
      </w:pPr>
      <w:r>
        <w:t xml:space="preserve">5. Innovation and Problem Solving</w:t>
      </w:r>
    </w:p>
    <w:p>
      <w:pPr>
        <w:pStyle w:val="FirstParagraph"/>
      </w:pPr>
      <w:r>
        <w:t xml:space="preserve">Innovation is a key driver for the robotics industry. This</w:t>
      </w:r>
      <w:r>
        <w:t xml:space="preserve"> </w:t>
      </w:r>
      <w:r>
        <w:rPr>
          <w:bCs/>
          <w:b/>
        </w:rPr>
        <w:t xml:space="preserve">Peer Review Report</w:t>
      </w:r>
      <w:r>
        <w:t xml:space="preserve"> </w:t>
      </w:r>
      <w:r>
        <w:t xml:space="preserve">highlights the subject's ability to solve novel problems creatively. When faced with supply chain disruptions affecting sensor availability, the engineer proposed a cost-effective alternative solution that maintained performance metrics. This demonstrated not only technical resourcefulness but also a strategic mindset valuable for operations in</w:t>
      </w:r>
      <w:r>
        <w:t xml:space="preserve"> </w:t>
      </w:r>
      <w:r>
        <w:rPr>
          <w:bCs/>
          <w:b/>
        </w:rPr>
        <w:t xml:space="preserve">Italy Rome</w:t>
      </w:r>
      <w:r>
        <w:t xml:space="preserve">, where logistical challenges can occasionally arise.</w:t>
      </w:r>
    </w:p>
    <w:p>
      <w:pPr>
        <w:pStyle w:val="BodyText"/>
      </w:pPr>
      <w:r>
        <w:t xml:space="preserve">Furthermore, the engineer contributed to the development of a novel path-planning algorithm tailored for narrow, historic streets, a specific requirement for autonomous delivery robots operating in the city center. This localized innovation underscores the engineer's commitment to creating solutions that are context-aware and practically applicable.</w:t>
      </w:r>
    </w:p>
    <w:bookmarkEnd w:id="26"/>
    <w:bookmarkStart w:id="27" w:name="areas-for-improvement"/>
    <w:p>
      <w:pPr>
        <w:pStyle w:val="Heading2"/>
      </w:pPr>
      <w:r>
        <w:t xml:space="preserve">6. Areas for Improvement</w:t>
      </w:r>
    </w:p>
    <w:p>
      <w:pPr>
        <w:pStyle w:val="FirstParagraph"/>
      </w:pPr>
      <w:r>
        <w:t xml:space="preserve">While the performance of the</w:t>
      </w:r>
      <w:r>
        <w:t xml:space="preserve"> </w:t>
      </w:r>
      <w:r>
        <w:rPr>
          <w:bCs/>
          <w:b/>
        </w:rPr>
        <w:t xml:space="preserve">Robotics Engineer</w:t>
      </w:r>
      <w:r>
        <w:t xml:space="preserve"> </w:t>
      </w:r>
      <w:r>
        <w:t xml:space="preserve">has been largely exemplary, this</w:t>
      </w:r>
      <w:r>
        <w:t xml:space="preserve"> </w:t>
      </w:r>
      <w:r>
        <w:rPr>
          <w:bCs/>
          <w:b/>
        </w:rPr>
        <w:t xml:space="preserve">Peer Review Report</w:t>
      </w:r>
      <w:r>
        <w:t xml:space="preserve"> </w:t>
      </w:r>
      <w:r>
        <w:t xml:space="preserve">identifies a few areas for professional growth. First, while technical documentation is strong, there is room for improvement in creating user-friendly manuals for end-users who may not have a technical background. Second, expanding knowledge of local Italian labor laws regarding human-robot interaction could further enhance safety protocols and legal compliance.</w:t>
      </w:r>
    </w:p>
    <w:bookmarkEnd w:id="27"/>
    <w:bookmarkStart w:id="28" w:name="conclusion-and-recommendation"/>
    <w:p>
      <w:pPr>
        <w:pStyle w:val="Heading2"/>
      </w:pPr>
      <w:r>
        <w:t xml:space="preserve">7. Conclusion and Recommendation</w:t>
      </w:r>
    </w:p>
    <w:p>
      <w:pPr>
        <w:pStyle w:val="FirstParagraph"/>
      </w:pPr>
      <w:r>
        <w:t xml:space="preserve">In conclusion, the subject has proven to be a highly competent</w:t>
      </w:r>
      <w:r>
        <w:t xml:space="preserve"> </w:t>
      </w:r>
      <w:r>
        <w:rPr>
          <w:bCs/>
          <w:b/>
        </w:rPr>
        <w:t xml:space="preserve">Robotics Engineer</w:t>
      </w:r>
      <w:r>
        <w:t xml:space="preserve"> </w:t>
      </w:r>
      <w:r>
        <w:t xml:space="preserve">capable of delivering high-quality technical solutions within the dynamic environment of</w:t>
      </w:r>
      <w:r>
        <w:t xml:space="preserve"> </w:t>
      </w:r>
      <w:r>
        <w:rPr>
          <w:bCs/>
          <w:b/>
        </w:rPr>
        <w:t xml:space="preserve">Italy Rome</w:t>
      </w:r>
      <w:r>
        <w:t xml:space="preserve">. Their blend of technical expertise, regulatory awareness, and cultural adaptability makes them a valuable asset to the organization. This</w:t>
      </w:r>
      <w:r>
        <w:t xml:space="preserve"> </w:t>
      </w:r>
      <w:r>
        <w:rPr>
          <w:bCs/>
          <w:b/>
        </w:rPr>
        <w:t xml:space="preserve">Peer Review Report</w:t>
      </w:r>
      <w:r>
        <w:t xml:space="preserve"> </w:t>
      </w:r>
      <w:r>
        <w:t xml:space="preserve">recommends continued support for their professional development and their inclusion in lead roles for future complex projects.</w:t>
      </w:r>
    </w:p>
    <w:p>
      <w:pPr>
        <w:pStyle w:val="BodyText"/>
      </w:pPr>
      <w:r>
        <w:rPr>
          <w:bCs/>
          <w:b/>
        </w:rPr>
        <w:t xml:space="preserve">Overall Competency Rating</w:t>
      </w:r>
    </w:p>
    <w:p>
      <w:pPr>
        <w:pStyle w:val="BodyText"/>
      </w:pPr>
      <w:r>
        <w:t xml:space="preserve">4.8 / 5.0</w:t>
      </w:r>
    </w:p>
    <w:p>
      <w:pPr>
        <w:pStyle w:val="BodyText"/>
      </w:pPr>
      <w:r>
        <w:rPr>
          <w:iCs/>
          <w:i/>
        </w:rPr>
        <w:t xml:space="preserve">Exceeds Expectations</w:t>
      </w:r>
    </w:p>
    <w:p>
      <w:pPr>
        <w:pStyle w:val="BodyText"/>
      </w:pPr>
      <w:r>
        <w:rPr>
          <w:bCs/>
          <w:b/>
        </w:rPr>
        <w:t xml:space="preserve">Reviewed By:</w:t>
      </w:r>
      <w:r>
        <w:br/>
      </w:r>
      <w:r>
        <w:t xml:space="preserve">Senior Technical Lead</w:t>
      </w:r>
      <w:r>
        <w:br/>
      </w:r>
      <w:r>
        <w:t xml:space="preserve">Robotics Division</w:t>
      </w:r>
    </w:p>
    <w:p>
      <w:pPr>
        <w:pStyle w:val="BodyText"/>
      </w:pPr>
      <w:r>
        <w:rPr>
          <w:bCs/>
          <w:b/>
        </w:rPr>
        <w:t xml:space="preserve">Approved By:</w:t>
      </w:r>
      <w:r>
        <w:br/>
      </w:r>
      <w:r>
        <w:t xml:space="preserve">Department Head</w:t>
      </w:r>
      <w:r>
        <w:br/>
      </w:r>
      <w:r>
        <w:t xml:space="preserve">R&amp;D Operations</w:t>
      </w:r>
    </w:p>
    <w:p>
      <w:pPr>
        <w:pStyle w:val="BodyText"/>
      </w:pPr>
      <w:r>
        <w:t xml:space="preserve">© 2023 Internal Technical Review Board. Confidential Document. Generated for use in Italy Rome.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2026-10-10T09:14:10Z</dcterms:created>
  <dcterms:modified xsi:type="dcterms:W3CDTF">2026-10-10T09:14:10Z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