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Robotics</w:t>
      </w:r>
      <w:r>
        <w:t xml:space="preserve"> </w:t>
      </w:r>
      <w:r>
        <w:t xml:space="preserve">Engineer</w:t>
      </w:r>
      <w:r>
        <w:t xml:space="preserve"> </w:t>
      </w:r>
      <w:r>
        <w:t xml:space="preserve">-</w:t>
      </w:r>
      <w:r>
        <w:t xml:space="preserve"> </w:t>
      </w:r>
      <w:r>
        <w:t xml:space="preserve">Moscow,</w:t>
      </w:r>
      <w:r>
        <w:t xml:space="preserve"> </w:t>
      </w:r>
      <w:r>
        <w:t xml:space="preserve">Russia</w:t>
      </w:r>
    </w:p>
    <w:bookmarkStart w:id="20" w:name="peer-review-report"/>
    <w:p>
      <w:pPr>
        <w:pStyle w:val="Heading1"/>
      </w:pPr>
      <w:r>
        <w:t xml:space="preserve">Peer Review Report</w:t>
      </w:r>
    </w:p>
    <w:p>
      <w:pPr>
        <w:pStyle w:val="FirstParagraph"/>
      </w:pPr>
      <w:r>
        <w:t xml:space="preserve">Technical Competency Assessment: Robotics Engineer</w:t>
      </w:r>
    </w:p>
    <w:bookmarkEnd w:id="20"/>
    <w:p>
      <w:pPr>
        <w:pStyle w:val="BodyText"/>
      </w:pPr>
      <w:r>
        <w:t xml:space="preserve">Date:</w:t>
      </w:r>
      <w:r>
        <w:t xml:space="preserve"> </w:t>
      </w:r>
      <w:r>
        <w:t xml:space="preserve">October 24, 2023</w:t>
      </w:r>
    </w:p>
    <w:p>
      <w:pPr>
        <w:pStyle w:val="BodyText"/>
      </w:pPr>
      <w:r>
        <w:t xml:space="preserve">Location:</w:t>
      </w:r>
      <w:r>
        <w:t xml:space="preserve"> </w:t>
      </w:r>
      <w:r>
        <w:t xml:space="preserve">Moscow, Russia</w:t>
      </w:r>
    </w:p>
    <w:p>
      <w:pPr>
        <w:pStyle w:val="BodyText"/>
      </w:pPr>
      <w:r>
        <w:t xml:space="preserve">Department:</w:t>
      </w:r>
      <w:r>
        <w:t xml:space="preserve"> </w:t>
      </w:r>
      <w:r>
        <w:t xml:space="preserve">Advanced Automation &amp; Mechatronics</w:t>
      </w:r>
    </w:p>
    <w:p>
      <w:pPr>
        <w:pStyle w:val="BodyText"/>
      </w:pPr>
      <w:r>
        <w:t xml:space="preserve">Review ID:</w:t>
      </w:r>
      <w:r>
        <w:t xml:space="preserve"> </w:t>
      </w:r>
      <w:r>
        <w:t xml:space="preserve">RU-MOW-ROB-2023-089</w:t>
      </w:r>
    </w:p>
    <w:p>
      <w:pPr>
        <w:pStyle w:val="BodyText"/>
      </w:pPr>
      <w:r>
        <w:t xml:space="preserve">Reviewer:</w:t>
      </w:r>
      <w:r>
        <w:t xml:space="preserve"> </w:t>
      </w:r>
      <w:r>
        <w:t xml:space="preserve">Senior Systems Architect</w:t>
      </w:r>
    </w:p>
    <w:p>
      <w:pPr>
        <w:pStyle w:val="BodyText"/>
      </w:pPr>
      <w:r>
        <w:t xml:space="preserve">Subject:</w:t>
      </w:r>
      <w:r>
        <w:t xml:space="preserve"> </w:t>
      </w:r>
      <w:r>
        <w:t xml:space="preserve">Robotics Engineer (Mid-Senior Level)</w:t>
      </w:r>
    </w:p>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serves as a comprehensive evaluation of the technical performance, project contributions, and professional conduct of the designated</w:t>
      </w:r>
      <w:r>
        <w:t xml:space="preserve"> </w:t>
      </w:r>
      <w:r>
        <w:rPr>
          <w:bCs/>
          <w:b/>
        </w:rPr>
        <w:t xml:space="preserve">Robotics Engineer</w:t>
      </w:r>
      <w:r>
        <w:t xml:space="preserve">. The assessment is conducted within the context of our operations in</w:t>
      </w:r>
      <w:r>
        <w:t xml:space="preserve"> </w:t>
      </w:r>
      <w:r>
        <w:rPr>
          <w:bCs/>
          <w:b/>
        </w:rPr>
        <w:t xml:space="preserve">Russia Moscow</w:t>
      </w:r>
      <w:r>
        <w:t xml:space="preserve">, specifically focusing on the integration of autonomous systems and industrial automation solutions tailored to the local manufacturing sector.</w:t>
      </w:r>
    </w:p>
    <w:p>
      <w:pPr>
        <w:pStyle w:val="BodyText"/>
      </w:pPr>
      <w:r>
        <w:t xml:space="preserve">The subject has demonstrated a robust understanding of mechatronic systems, control theory, and embedded software development. Over the past review period, the engineer has been instrumental in advancing our robotic assembly line prototypes located in the Moscow industrial zone. This report details specific technical achievements, areas requiring improvement, and strategic recommendations for future development within the Russian engineering landscape.</w:t>
      </w:r>
    </w:p>
    <w:bookmarkEnd w:id="21"/>
    <w:bookmarkStart w:id="22" w:name="technical-competency-assessment"/>
    <w:p>
      <w:pPr>
        <w:pStyle w:val="Heading2"/>
      </w:pPr>
      <w:r>
        <w:t xml:space="preserve">2. Technical Competency Assessment</w:t>
      </w:r>
    </w:p>
    <w:p>
      <w:pPr>
        <w:pStyle w:val="FirstParagraph"/>
      </w:pPr>
      <w:r>
        <w:t xml:space="preserve">The core of this</w:t>
      </w:r>
      <w:r>
        <w:t xml:space="preserve"> </w:t>
      </w:r>
      <w:r>
        <w:rPr>
          <w:bCs/>
          <w:b/>
        </w:rPr>
        <w:t xml:space="preserve">Peer Review Report</w:t>
      </w:r>
      <w:r>
        <w:t xml:space="preserve"> </w:t>
      </w:r>
      <w:r>
        <w:t xml:space="preserve">evaluates the hard skills required of a</w:t>
      </w:r>
      <w:r>
        <w:t xml:space="preserve"> </w:t>
      </w:r>
      <w:r>
        <w:rPr>
          <w:bCs/>
          <w:b/>
        </w:rPr>
        <w:t xml:space="preserve">Robotics Engineer</w:t>
      </w:r>
      <w:r>
        <w:t xml:space="preserve"> </w:t>
      </w:r>
      <w:r>
        <w:t xml:space="preserve">operating in a high-tech environment like</w:t>
      </w:r>
      <w:r>
        <w:t xml:space="preserve"> </w:t>
      </w:r>
      <w:r>
        <w:rPr>
          <w:bCs/>
          <w:b/>
        </w:rPr>
        <w:t xml:space="preserve">Russia Moscow</w:t>
      </w:r>
      <w:r>
        <w:t xml:space="preserve">. The following table summarizes the performance metrics based on peer observations and code/system audits.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Competency Area</w:t>
            </w:r>
          </w:p>
        </w:tc>
        <w:tc>
          <w:tcPr/>
          <w:p>
            <w:pPr>
              <w:pStyle w:val="Compact"/>
              <w:jc w:val="left"/>
            </w:pPr>
            <w:r>
              <w:t xml:space="preserve">Rating (1-5)</w:t>
            </w:r>
          </w:p>
        </w:tc>
        <w:tc>
          <w:tcPr/>
          <w:p>
            <w:pPr>
              <w:pStyle w:val="Compact"/>
              <w:jc w:val="left"/>
            </w:pPr>
            <w:r>
              <w:t xml:space="preserve">Comments</w:t>
            </w:r>
          </w:p>
        </w:tc>
      </w:tr>
      <w:tr>
        <w:tc>
          <w:tcPr/>
          <w:p>
            <w:pPr>
              <w:pStyle w:val="Compact"/>
              <w:jc w:val="left"/>
            </w:pPr>
            <w:r>
              <w:t xml:space="preserve">Embedded Systems &amp; Firmware (C++/Python)</w:t>
            </w:r>
          </w:p>
        </w:tc>
        <w:tc>
          <w:tcPr/>
          <w:p>
            <w:pPr>
              <w:pStyle w:val="Compact"/>
              <w:jc w:val="left"/>
            </w:pPr>
            <w:r>
              <w:t xml:space="preserve">5</w:t>
            </w:r>
          </w:p>
        </w:tc>
        <w:tc>
          <w:tcPr/>
          <w:p>
            <w:pPr>
              <w:pStyle w:val="Compact"/>
              <w:jc w:val="left"/>
            </w:pPr>
            <w:r>
              <w:t xml:space="preserve">Exceptional proficiency in optimizing real-time control loops for ROS2 nodes.</w:t>
            </w:r>
          </w:p>
        </w:tc>
      </w:tr>
      <w:tr>
        <w:tc>
          <w:tcPr/>
          <w:p>
            <w:pPr>
              <w:pStyle w:val="Compact"/>
              <w:jc w:val="left"/>
            </w:pPr>
            <w:r>
              <w:t xml:space="preserve">Mechanical Design &amp; CAD Integration</w:t>
            </w:r>
          </w:p>
        </w:tc>
        <w:tc>
          <w:tcPr/>
          <w:p>
            <w:pPr>
              <w:pStyle w:val="Compact"/>
              <w:jc w:val="left"/>
            </w:pPr>
            <w:r>
              <w:t xml:space="preserve">3</w:t>
            </w:r>
          </w:p>
        </w:tc>
        <w:tc>
          <w:tcPr/>
          <w:p>
            <w:pPr>
              <w:pStyle w:val="Compact"/>
              <w:jc w:val="left"/>
            </w:pPr>
            <w:r>
              <w:t xml:space="preserve">Solid understanding, but relies heavily on mechanical team for complex kinematics.</w:t>
            </w:r>
          </w:p>
        </w:tc>
      </w:tr>
      <w:tr>
        <w:tc>
          <w:tcPr/>
          <w:p>
            <w:pPr>
              <w:pStyle w:val="Compact"/>
              <w:jc w:val="left"/>
            </w:pPr>
            <w:r>
              <w:t xml:space="preserve">Computer Vision &amp; Sensor Fusion</w:t>
            </w:r>
          </w:p>
        </w:tc>
        <w:tc>
          <w:tcPr/>
          <w:p>
            <w:pPr>
              <w:pStyle w:val="Compact"/>
              <w:jc w:val="left"/>
            </w:pPr>
            <w:r>
              <w:t xml:space="preserve">4</w:t>
            </w:r>
          </w:p>
        </w:tc>
        <w:tc>
          <w:tcPr/>
          <w:p>
            <w:pPr>
              <w:pStyle w:val="Compact"/>
              <w:jc w:val="left"/>
            </w:pPr>
            <w:r>
              <w:t xml:space="preserve">Successfully implemented LiDAR-based navigation for warehouse bots in Moscow facilities.</w:t>
            </w:r>
          </w:p>
        </w:tc>
      </w:tr>
      <w:tr>
        <w:tc>
          <w:tcPr/>
          <w:p>
            <w:pPr>
              <w:pStyle w:val="Compact"/>
              <w:jc w:val="left"/>
            </w:pPr>
            <w:r>
              <w:t xml:space="preserve">System Architecture &amp; Scalability</w:t>
            </w:r>
          </w:p>
        </w:tc>
        <w:tc>
          <w:tcPr/>
          <w:p>
            <w:pPr>
              <w:pStyle w:val="Compact"/>
              <w:jc w:val="left"/>
            </w:pPr>
            <w:r>
              <w:t xml:space="preserve">4</w:t>
            </w:r>
          </w:p>
        </w:tc>
        <w:tc>
          <w:tcPr/>
          <w:p>
            <w:pPr>
              <w:pStyle w:val="Compact"/>
              <w:jc w:val="left"/>
            </w:pPr>
            <w:r>
              <w:t xml:space="preserve">Designed modular architectures that comply with GOST standards for industrial safety.</w:t>
            </w:r>
          </w:p>
        </w:tc>
      </w:tr>
      <w:tr>
        <w:tc>
          <w:tcPr/>
          <w:p>
            <w:pPr>
              <w:pStyle w:val="Compact"/>
              <w:jc w:val="left"/>
            </w:pPr>
            <w:r>
              <w:t xml:space="preserve">Documentation &amp; Technical Writing</w:t>
            </w:r>
          </w:p>
        </w:tc>
        <w:tc>
          <w:tcPr/>
          <w:p>
            <w:pPr>
              <w:pStyle w:val="Compact"/>
              <w:jc w:val="left"/>
            </w:pPr>
            <w:r>
              <w:t xml:space="preserve">3</w:t>
            </w:r>
          </w:p>
        </w:tc>
        <w:tc>
          <w:tcPr/>
          <w:p>
            <w:pPr>
              <w:pStyle w:val="Compact"/>
              <w:jc w:val="left"/>
            </w:pPr>
            <w:r>
              <w:t xml:space="preserve">Code comments are adequate, but system-level documentation needs more detail.</w:t>
            </w:r>
          </w:p>
        </w:tc>
      </w:tr>
    </w:tbl>
    <w:bookmarkEnd w:id="22"/>
    <w:bookmarkStart w:id="25" w:name="project-contributions-and-impact"/>
    <w:p>
      <w:pPr>
        <w:pStyle w:val="Heading2"/>
      </w:pPr>
      <w:r>
        <w:t xml:space="preserve">3. Project Contributions and Impact</w:t>
      </w:r>
    </w:p>
    <w:bookmarkStart w:id="23" w:name="autonomous-mobile-robot-amr-deployment"/>
    <w:p>
      <w:pPr>
        <w:pStyle w:val="Heading3"/>
      </w:pPr>
      <w:r>
        <w:t xml:space="preserve">3.1 Autonomous Mobile Robot (AMR) Deployment</w:t>
      </w:r>
    </w:p>
    <w:p>
      <w:pPr>
        <w:pStyle w:val="FirstParagraph"/>
      </w:pPr>
      <w:r>
        <w:t xml:space="preserve">A significant portion of this</w:t>
      </w:r>
      <w:r>
        <w:t xml:space="preserve"> </w:t>
      </w:r>
      <w:r>
        <w:rPr>
          <w:bCs/>
          <w:b/>
        </w:rPr>
        <w:t xml:space="preserve">Peer Review Report</w:t>
      </w:r>
      <w:r>
        <w:t xml:space="preserve"> </w:t>
      </w:r>
      <w:r>
        <w:t xml:space="preserve">highlights the engineer's work on the AMR project. Operating within the logistical constraints of</w:t>
      </w:r>
      <w:r>
        <w:t xml:space="preserve"> </w:t>
      </w:r>
      <w:r>
        <w:rPr>
          <w:bCs/>
          <w:b/>
        </w:rPr>
        <w:t xml:space="preserve">Russia Moscow</w:t>
      </w:r>
      <w:r>
        <w:t xml:space="preserve">, the</w:t>
      </w:r>
      <w:r>
        <w:t xml:space="preserve"> </w:t>
      </w:r>
      <w:r>
        <w:rPr>
          <w:bCs/>
          <w:b/>
        </w:rPr>
        <w:t xml:space="preserve">Robotics Engineer</w:t>
      </w:r>
      <w:r>
        <w:t xml:space="preserve"> </w:t>
      </w:r>
      <w:r>
        <w:t xml:space="preserve">successfully adapted navigation algorithms to handle variable lighting conditions and crowded warehouse environments typical of the region. The implementation of SLAM (Simultaneous Localization and Mapping) techniques resulted in a 15% increase in operational efficiency for our Moscow-based logistics partners.</w:t>
      </w:r>
    </w:p>
    <w:bookmarkEnd w:id="23"/>
    <w:bookmarkStart w:id="24" w:name="industrial-arm-integration"/>
    <w:p>
      <w:pPr>
        <w:pStyle w:val="Heading3"/>
      </w:pPr>
      <w:r>
        <w:t xml:space="preserve">3.2 Industrial Arm Integration</w:t>
      </w:r>
    </w:p>
    <w:p>
      <w:pPr>
        <w:pStyle w:val="FirstParagraph"/>
      </w:pPr>
      <w:r>
        <w:t xml:space="preserve">The engineer played a pivotal role in integrating collaborative robots (cobots) into existing assembly lines. By bridging the gap between legacy PLC systems and modern robotic controllers, the</w:t>
      </w:r>
      <w:r>
        <w:t xml:space="preserve"> </w:t>
      </w:r>
      <w:r>
        <w:rPr>
          <w:bCs/>
          <w:b/>
        </w:rPr>
        <w:t xml:space="preserve">Robotics Engineer</w:t>
      </w:r>
      <w:r>
        <w:t xml:space="preserve"> </w:t>
      </w:r>
      <w:r>
        <w:t xml:space="preserve">ensured seamless communication protocols. This work is particularly relevant in</w:t>
      </w:r>
      <w:r>
        <w:t xml:space="preserve"> </w:t>
      </w:r>
      <w:r>
        <w:rPr>
          <w:bCs/>
          <w:b/>
        </w:rPr>
        <w:t xml:space="preserve">Russia Moscow</w:t>
      </w:r>
      <w:r>
        <w:t xml:space="preserve">, where many factories are undergoing digital transformation while maintaining older infrastructure. The ability to interface with diverse hardware standards was a key strength observed during this review period.</w:t>
      </w:r>
    </w:p>
    <w:bookmarkEnd w:id="24"/>
    <w:bookmarkEnd w:id="25"/>
    <w:bookmarkStart w:id="26" w:name="professional-conduct-and-collaboration"/>
    <w:p>
      <w:pPr>
        <w:pStyle w:val="Heading2"/>
      </w:pPr>
      <w:r>
        <w:t xml:space="preserve">4. Professional Conduct and Collaboration</w:t>
      </w:r>
    </w:p>
    <w:p>
      <w:pPr>
        <w:pStyle w:val="FirstParagraph"/>
      </w:pPr>
      <w:r>
        <w:t xml:space="preserve">In the context of a</w:t>
      </w:r>
      <w:r>
        <w:t xml:space="preserve"> </w:t>
      </w:r>
      <w:r>
        <w:rPr>
          <w:bCs/>
          <w:b/>
        </w:rPr>
        <w:t xml:space="preserve">Peer Review Report</w:t>
      </w:r>
      <w:r>
        <w:t xml:space="preserve">, interpersonal dynamics are as critical as technical skill. The</w:t>
      </w:r>
      <w:r>
        <w:t xml:space="preserve"> </w:t>
      </w:r>
      <w:r>
        <w:rPr>
          <w:bCs/>
          <w:b/>
        </w:rPr>
        <w:t xml:space="preserve">Robotics Engineer</w:t>
      </w:r>
      <w:r>
        <w:t xml:space="preserve"> </w:t>
      </w:r>
      <w:r>
        <w:t xml:space="preserve">has exhibited a collaborative spirit, frequently engaging in knowledge-sharing sessions with the broader engineering team in Moscow.</w:t>
      </w:r>
    </w:p>
    <w:p>
      <w:pPr>
        <w:pStyle w:val="BodyText"/>
      </w:pPr>
      <w:r>
        <w:rPr>
          <w:bCs/>
          <w:b/>
        </w:rPr>
        <w:t xml:space="preserve">Strengths:</w:t>
      </w:r>
    </w:p>
    <w:p>
      <w:pPr>
        <w:numPr>
          <w:ilvl w:val="0"/>
          <w:numId w:val="1001"/>
        </w:numPr>
        <w:pStyle w:val="Compact"/>
      </w:pPr>
      <w:r>
        <w:rPr>
          <w:bCs/>
          <w:b/>
        </w:rPr>
        <w:t xml:space="preserve">Mentorship:</w:t>
      </w:r>
      <w:r>
        <w:t xml:space="preserve"> </w:t>
      </w:r>
      <w:r>
        <w:t xml:space="preserve">Actively mentors junior engineers on ROS (Robot Operating System) best practices.</w:t>
      </w:r>
    </w:p>
    <w:p>
      <w:pPr>
        <w:numPr>
          <w:ilvl w:val="0"/>
          <w:numId w:val="1001"/>
        </w:numPr>
        <w:pStyle w:val="Compact"/>
      </w:pPr>
      <w:r>
        <w:rPr>
          <w:bCs/>
          <w:b/>
        </w:rPr>
        <w:t xml:space="preserve">Problem Solving:</w:t>
      </w:r>
      <w:r>
        <w:t xml:space="preserve"> </w:t>
      </w:r>
      <w:r>
        <w:t xml:space="preserve">Demonstrates resilience when troubleshooting hardware failures in the field.</w:t>
      </w:r>
    </w:p>
    <w:p>
      <w:pPr>
        <w:numPr>
          <w:ilvl w:val="0"/>
          <w:numId w:val="1001"/>
        </w:numPr>
        <w:pStyle w:val="Compact"/>
      </w:pPr>
      <w:r>
        <w:rPr>
          <w:bCs/>
          <w:b/>
        </w:rPr>
        <w:t xml:space="preserve">Communication:</w:t>
      </w:r>
      <w:r>
        <w:t xml:space="preserve"> </w:t>
      </w:r>
      <w:r>
        <w:t xml:space="preserve">Effectively communicates complex technical concepts to non-technical stakeholders in Russian and English.</w:t>
      </w:r>
    </w:p>
    <w:p>
      <w:pPr>
        <w:pStyle w:val="FirstParagraph"/>
      </w:pPr>
      <w:r>
        <w:rPr>
          <w:bCs/>
          <w:b/>
        </w:rPr>
        <w:t xml:space="preserve">Areas for Improvement:</w:t>
      </w:r>
    </w:p>
    <w:p>
      <w:pPr>
        <w:numPr>
          <w:ilvl w:val="0"/>
          <w:numId w:val="1002"/>
        </w:numPr>
        <w:pStyle w:val="Compact"/>
      </w:pPr>
      <w:r>
        <w:rPr>
          <w:bCs/>
          <w:b/>
        </w:rPr>
        <w:t xml:space="preserve">Time Management:</w:t>
      </w:r>
      <w:r>
        <w:t xml:space="preserve"> </w:t>
      </w:r>
      <w:r>
        <w:t xml:space="preserve">Occasionally spends excessive time optimizing code beyond project requirements, potentially delaying milestones.</w:t>
      </w:r>
    </w:p>
    <w:p>
      <w:pPr>
        <w:numPr>
          <w:ilvl w:val="0"/>
          <w:numId w:val="1002"/>
        </w:numPr>
        <w:pStyle w:val="Compact"/>
      </w:pPr>
      <w:r>
        <w:rPr>
          <w:bCs/>
          <w:b/>
        </w:rPr>
        <w:t xml:space="preserve">Cross-Departmental Liaison:</w:t>
      </w:r>
      <w:r>
        <w:t xml:space="preserve"> </w:t>
      </w:r>
      <w:r>
        <w:t xml:space="preserve">Needs to improve coordination with the procurement team regarding component sourcing, which can be challenging in the current supply chain environment in Russia.</w:t>
      </w:r>
    </w:p>
    <w:bookmarkEnd w:id="26"/>
    <w:bookmarkStart w:id="27" w:name="strategic-recommendations"/>
    <w:p>
      <w:pPr>
        <w:pStyle w:val="Heading2"/>
      </w:pPr>
      <w:r>
        <w:t xml:space="preserve">5. Strategic Recommendations</w:t>
      </w:r>
    </w:p>
    <w:p>
      <w:pPr>
        <w:pStyle w:val="FirstParagraph"/>
      </w:pPr>
      <w:r>
        <w:t xml:space="preserve">Based on the findings of this</w:t>
      </w:r>
      <w:r>
        <w:t xml:space="preserve"> </w:t>
      </w:r>
      <w:r>
        <w:rPr>
          <w:bCs/>
          <w:b/>
        </w:rPr>
        <w:t xml:space="preserve">Peer Review Report</w:t>
      </w:r>
      <w:r>
        <w:t xml:space="preserve">, the following recommendations are proposed for the</w:t>
      </w:r>
      <w:r>
        <w:t xml:space="preserve"> </w:t>
      </w:r>
      <w:r>
        <w:rPr>
          <w:bCs/>
          <w:b/>
        </w:rPr>
        <w:t xml:space="preserve">Robotics Engineer</w:t>
      </w:r>
      <w:r>
        <w:t xml:space="preserve"> </w:t>
      </w:r>
      <w:r>
        <w:t xml:space="preserve">to further their career and contribute more effectively to our operations in</w:t>
      </w:r>
      <w:r>
        <w:t xml:space="preserve"> </w:t>
      </w:r>
      <w:r>
        <w:rPr>
          <w:bCs/>
          <w:b/>
        </w:rPr>
        <w:t xml:space="preserve">Russia Moscow</w:t>
      </w:r>
      <w:r>
        <w:t xml:space="preserve">:</w:t>
      </w:r>
    </w:p>
    <w:p>
      <w:pPr>
        <w:numPr>
          <w:ilvl w:val="0"/>
          <w:numId w:val="1003"/>
        </w:numPr>
        <w:pStyle w:val="Compact"/>
      </w:pPr>
      <w:r>
        <w:rPr>
          <w:bCs/>
          <w:b/>
        </w:rPr>
        <w:t xml:space="preserve">Advanced Control Theory Training:</w:t>
      </w:r>
      <w:r>
        <w:t xml:space="preserve"> </w:t>
      </w:r>
      <w:r>
        <w:t xml:space="preserve">Enroll in specialized courses regarding adaptive control systems to enhance the autonomy of our robotic fleets.</w:t>
      </w:r>
    </w:p>
    <w:p>
      <w:pPr>
        <w:numPr>
          <w:ilvl w:val="0"/>
          <w:numId w:val="1003"/>
        </w:numPr>
        <w:pStyle w:val="Compact"/>
      </w:pPr>
      <w:r>
        <w:rPr>
          <w:bCs/>
          <w:b/>
        </w:rPr>
        <w:t xml:space="preserve">Regulatory Compliance:</w:t>
      </w:r>
      <w:r>
        <w:t xml:space="preserve"> </w:t>
      </w:r>
      <w:r>
        <w:t xml:space="preserve">Deepen knowledge of Russian industrial safety regulations (GOST R) to ensure all robotic deployments are fully compliant without external consultation.</w:t>
      </w:r>
    </w:p>
    <w:p>
      <w:pPr>
        <w:numPr>
          <w:ilvl w:val="0"/>
          <w:numId w:val="1003"/>
        </w:numPr>
        <w:pStyle w:val="Compact"/>
      </w:pPr>
      <w:r>
        <w:rPr>
          <w:bCs/>
          <w:b/>
        </w:rPr>
        <w:t xml:space="preserve">Documentation Standards:</w:t>
      </w:r>
      <w:r>
        <w:t xml:space="preserve"> </w:t>
      </w:r>
      <w:r>
        <w:t xml:space="preserve">Adopt a stricter documentation protocol for all API endpoints and hardware interfaces to facilitate easier onboarding for new team members.</w:t>
      </w:r>
    </w:p>
    <w:p>
      <w:pPr>
        <w:numPr>
          <w:ilvl w:val="0"/>
          <w:numId w:val="1003"/>
        </w:numPr>
        <w:pStyle w:val="Compact"/>
      </w:pPr>
      <w:r>
        <w:rPr>
          <w:bCs/>
          <w:b/>
        </w:rPr>
        <w:t xml:space="preserve">Supply Chain Resilience:</w:t>
      </w:r>
      <w:r>
        <w:t xml:space="preserve"> </w:t>
      </w:r>
      <w:r>
        <w:t xml:space="preserve">Collaborate with procurement to identify alternative suppliers for critical electronic components, mitigating risks associated with global supply chain volatility affecting Moscow.</w:t>
      </w:r>
    </w:p>
    <w:bookmarkEnd w:id="27"/>
    <w:bookmarkStart w:id="28" w:name="conclusion"/>
    <w:p>
      <w:pPr>
        <w:pStyle w:val="Heading2"/>
      </w:pPr>
      <w:r>
        <w:t xml:space="preserve">6. Conclusion</w:t>
      </w:r>
    </w:p>
    <w:p>
      <w:pPr>
        <w:pStyle w:val="FirstParagraph"/>
      </w:pPr>
      <w:r>
        <w:t xml:space="preserve">In conclusion, this</w:t>
      </w:r>
      <w:r>
        <w:t xml:space="preserve"> </w:t>
      </w:r>
      <w:r>
        <w:rPr>
          <w:bCs/>
          <w:b/>
        </w:rPr>
        <w:t xml:space="preserve">Peer Review Report</w:t>
      </w:r>
      <w:r>
        <w:t xml:space="preserve"> </w:t>
      </w:r>
      <w:r>
        <w:t xml:space="preserve">affirms that the subject is a highly competent</w:t>
      </w:r>
      <w:r>
        <w:t xml:space="preserve"> </w:t>
      </w:r>
      <w:r>
        <w:rPr>
          <w:bCs/>
          <w:b/>
        </w:rPr>
        <w:t xml:space="preserve">Robotics Engineer</w:t>
      </w:r>
      <w:r>
        <w:t xml:space="preserve"> </w:t>
      </w:r>
      <w:r>
        <w:t xml:space="preserve">who adds significant value to our technical team. Their ability to navigate the unique technical and logistical challenges of</w:t>
      </w:r>
      <w:r>
        <w:t xml:space="preserve"> </w:t>
      </w:r>
      <w:r>
        <w:rPr>
          <w:bCs/>
          <w:b/>
        </w:rPr>
        <w:t xml:space="preserve">Russia Moscow</w:t>
      </w:r>
      <w:r>
        <w:t xml:space="preserve"> </w:t>
      </w:r>
      <w:r>
        <w:t xml:space="preserve">makes them an asset to the organization. With focused improvements in documentation and time management, they are well-positioned to take on leadership roles in future large-scale automation projects.</w:t>
      </w:r>
    </w:p>
    <w:p>
      <w:pPr>
        <w:pStyle w:val="BodyText"/>
      </w:pPr>
      <w:r>
        <w:rPr>
          <w:bCs/>
          <w:b/>
        </w:rPr>
        <w:t xml:space="preserve">Reviewer Signature:</w:t>
      </w:r>
      <w:r>
        <w:br/>
      </w:r>
      <w:r>
        <w:rPr>
          <w:iCs/>
          <w:i/>
        </w:rPr>
        <w:t xml:space="preserve">Alexei Volkov, Senior Systems Architect</w:t>
      </w:r>
    </w:p>
    <w:p>
      <w:pPr>
        <w:pStyle w:val="BodyText"/>
      </w:pPr>
      <w:r>
        <w:rPr>
          <w:bCs/>
          <w:b/>
        </w:rPr>
        <w:t xml:space="preserve">Employee Acknowledgment:</w:t>
      </w:r>
      <w:r>
        <w:br/>
      </w:r>
      <w:r>
        <w:rPr>
          <w:iCs/>
          <w:i/>
        </w:rPr>
        <w:t xml:space="preserve">__________________________</w:t>
      </w:r>
    </w:p>
    <w:p>
      <w:pPr>
        <w:pStyle w:val="BodyText"/>
      </w:pPr>
      <w:r>
        <w:t xml:space="preserve">Confidential Document - Internal Use Only. Generated for Peer Review Process.</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Robotics Engineer - Moscow, Russia</dc:title>
  <dc:creator/>
  <dc:language>en</dc:language>
  <cp:keywords/>
  <dcterms:created xsi:type="dcterms:W3CDTF">2026-10-10T08:41:05Z</dcterms:created>
  <dcterms:modified xsi:type="dcterms:W3CDTF">2026-10-10T08:41:05Z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