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Abu</w:t>
      </w:r>
      <w:r>
        <w:t xml:space="preserve"> </w:t>
      </w:r>
      <w:r>
        <w:t xml:space="preserve">Dhabi,</w:t>
      </w:r>
      <w:r>
        <w:t xml:space="preserve"> </w:t>
      </w:r>
      <w:r>
        <w:t xml:space="preserve">UAE</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Robotics Engineer</w:t>
      </w:r>
    </w:p>
    <w:p>
      <w:pPr>
        <w:pStyle w:val="BodyText"/>
      </w:pPr>
      <w:r>
        <w:rPr>
          <w:bCs/>
          <w:b/>
        </w:rPr>
        <w:t xml:space="preserve">Location:</w:t>
      </w:r>
      <w:r>
        <w:t xml:space="preserve"> </w:t>
      </w:r>
      <w:r>
        <w:t xml:space="preserve">United Arab Emirates, Abu Dhabi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performance, technical expertise, and professional contributions of a Robotics Engineer working in Abu Dhabi, United Arab Emirates. The review is conducted in alignment with the standards set by the Abu Dhabi Department of Economic Development (DED) and the broader UAE vision for technological advancement and innovation. The purpose of this report is to provide a comprehensive assessment of the engineer’s capabilities, adherence to industry best practices, and alignment with the strategic goals of robotics development in the region.</w:t>
      </w:r>
    </w:p>
    <w:bookmarkEnd w:id="21"/>
    <w:bookmarkStart w:id="22" w:name="scope-of-review"/>
    <w:p>
      <w:pPr>
        <w:pStyle w:val="Heading2"/>
      </w:pPr>
      <w:r>
        <w:t xml:space="preserve">2. Scope of Review</w:t>
      </w:r>
    </w:p>
    <w:p>
      <w:pPr>
        <w:pStyle w:val="FirstParagraph"/>
      </w:pPr>
      <w:r>
        <w:t xml:space="preserve">The scope of this review encompasses the following areas:</w:t>
      </w:r>
    </w:p>
    <w:p>
      <w:pPr>
        <w:numPr>
          <w:ilvl w:val="0"/>
          <w:numId w:val="1001"/>
        </w:numPr>
        <w:pStyle w:val="Compact"/>
      </w:pPr>
      <w:r>
        <w:t xml:space="preserve">Technical proficiency in robotics design, development, and implementation.</w:t>
      </w:r>
    </w:p>
    <w:p>
      <w:pPr>
        <w:numPr>
          <w:ilvl w:val="0"/>
          <w:numId w:val="1001"/>
        </w:numPr>
        <w:pStyle w:val="Compact"/>
      </w:pPr>
      <w:r>
        <w:t xml:space="preserve">Adherence to safety standards and regulatory compliance in the UAE.</w:t>
      </w:r>
    </w:p>
    <w:p>
      <w:pPr>
        <w:numPr>
          <w:ilvl w:val="0"/>
          <w:numId w:val="1001"/>
        </w:numPr>
        <w:pStyle w:val="Compact"/>
      </w:pPr>
      <w:r>
        <w:t xml:space="preserve">Collaboration and communication within multidisciplinary teams.</w:t>
      </w:r>
    </w:p>
    <w:p>
      <w:pPr>
        <w:numPr>
          <w:ilvl w:val="0"/>
          <w:numId w:val="1001"/>
        </w:numPr>
        <w:pStyle w:val="Compact"/>
      </w:pPr>
      <w:r>
        <w:t xml:space="preserve">Contribution to innovation and problem-solving in robotics projects.</w:t>
      </w:r>
    </w:p>
    <w:p>
      <w:pPr>
        <w:numPr>
          <w:ilvl w:val="0"/>
          <w:numId w:val="1001"/>
        </w:numPr>
        <w:pStyle w:val="Compact"/>
      </w:pPr>
      <w:r>
        <w:t xml:space="preserve">Alignment with the UAE’s national agenda for smart cities and automation.</w:t>
      </w:r>
    </w:p>
    <w:bookmarkEnd w:id="22"/>
    <w:bookmarkStart w:id="23" w:name="technical-expertise"/>
    <w:p>
      <w:pPr>
        <w:pStyle w:val="Heading2"/>
      </w:pPr>
      <w:r>
        <w:t xml:space="preserve">3. Technical Expertise</w:t>
      </w:r>
    </w:p>
    <w:p>
      <w:pPr>
        <w:pStyle w:val="FirstParagraph"/>
      </w:pPr>
      <w:r>
        <w:t xml:space="preserve">The Robotics Engineer demonstrated a high level of technical expertise in the design and development of robotic systems. Key areas of strength include:</w:t>
      </w:r>
    </w:p>
    <w:p>
      <w:pPr>
        <w:numPr>
          <w:ilvl w:val="0"/>
          <w:numId w:val="1002"/>
        </w:numPr>
        <w:pStyle w:val="Compact"/>
      </w:pPr>
      <w:r>
        <w:rPr>
          <w:bCs/>
          <w:b/>
        </w:rPr>
        <w:t xml:space="preserve">Mechanical Design:</w:t>
      </w:r>
      <w:r>
        <w:t xml:space="preserve"> </w:t>
      </w:r>
      <w:r>
        <w:t xml:space="preserve">Proficient in CAD software and mechanical modeling, ensuring precision in robotic component design.</w:t>
      </w:r>
    </w:p>
    <w:p>
      <w:pPr>
        <w:numPr>
          <w:ilvl w:val="0"/>
          <w:numId w:val="1002"/>
        </w:numPr>
        <w:pStyle w:val="Compact"/>
      </w:pPr>
      <w:r>
        <w:rPr>
          <w:bCs/>
          <w:b/>
        </w:rPr>
        <w:t xml:space="preserve">Programming:</w:t>
      </w:r>
      <w:r>
        <w:t xml:space="preserve"> </w:t>
      </w:r>
      <w:r>
        <w:t xml:space="preserve">Strong command of programming languages such as C++, Python, and ROS (Robot Operating System), enabling efficient development of control algorithms.</w:t>
      </w:r>
    </w:p>
    <w:p>
      <w:pPr>
        <w:numPr>
          <w:ilvl w:val="0"/>
          <w:numId w:val="1002"/>
        </w:numPr>
        <w:pStyle w:val="Compact"/>
      </w:pPr>
      <w:r>
        <w:rPr>
          <w:bCs/>
          <w:b/>
        </w:rPr>
        <w:t xml:space="preserve">Integration:</w:t>
      </w:r>
      <w:r>
        <w:t xml:space="preserve"> </w:t>
      </w:r>
      <w:r>
        <w:t xml:space="preserve">Successfully integrated hardware and software components, ensuring seamless operation of robotic systems in real-world applications.</w:t>
      </w:r>
    </w:p>
    <w:p>
      <w:pPr>
        <w:numPr>
          <w:ilvl w:val="0"/>
          <w:numId w:val="1002"/>
        </w:numPr>
        <w:pStyle w:val="Compact"/>
      </w:pPr>
      <w:r>
        <w:rPr>
          <w:bCs/>
          <w:b/>
        </w:rPr>
        <w:t xml:space="preserve">AI and Machine Learning:</w:t>
      </w:r>
      <w:r>
        <w:t xml:space="preserve"> </w:t>
      </w:r>
      <w:r>
        <w:t xml:space="preserve">Applied AI and machine learning techniques to enhance robotic decision-making and autonomy, aligning with the UAE’s focus on cutting-edge technologies.</w:t>
      </w:r>
    </w:p>
    <w:p>
      <w:pPr>
        <w:pStyle w:val="FirstParagraph"/>
      </w:pPr>
      <w:r>
        <w:t xml:space="preserve">The engineer’s work reflects a deep understanding of the technical requirements for robotics projects in Abu Dhabi, particularly in sectors such as healthcare, logistics, and smart infrastructure.</w:t>
      </w:r>
    </w:p>
    <w:bookmarkEnd w:id="23"/>
    <w:bookmarkStart w:id="24" w:name="compliance-and-safety-standards"/>
    <w:p>
      <w:pPr>
        <w:pStyle w:val="Heading2"/>
      </w:pPr>
      <w:r>
        <w:t xml:space="preserve">4. Compliance and Safety Standards</w:t>
      </w:r>
    </w:p>
    <w:p>
      <w:pPr>
        <w:pStyle w:val="FirstParagraph"/>
      </w:pPr>
      <w:r>
        <w:t xml:space="preserve">Adherence to safety standards and regulatory compliance is critical in the UAE, where robotics applications are increasingly deployed in public and industrial settings. The Robotics Engineer demonstrated a strong commitment to compliance by:</w:t>
      </w:r>
    </w:p>
    <w:p>
      <w:pPr>
        <w:numPr>
          <w:ilvl w:val="0"/>
          <w:numId w:val="1003"/>
        </w:numPr>
        <w:pStyle w:val="Compact"/>
      </w:pPr>
      <w:r>
        <w:t xml:space="preserve">Ensuring all robotic systems met the safety standards outlined by the UAE Ministry of Energy and Infrastructure.</w:t>
      </w:r>
    </w:p>
    <w:p>
      <w:pPr>
        <w:numPr>
          <w:ilvl w:val="0"/>
          <w:numId w:val="1003"/>
        </w:numPr>
        <w:pStyle w:val="Compact"/>
      </w:pPr>
      <w:r>
        <w:t xml:space="preserve">Conducting rigorous testing and validation processes to mitigate risks associated with robotic operations.</w:t>
      </w:r>
    </w:p>
    <w:p>
      <w:pPr>
        <w:numPr>
          <w:ilvl w:val="0"/>
          <w:numId w:val="1003"/>
        </w:numPr>
        <w:pStyle w:val="Compact"/>
      </w:pPr>
      <w:r>
        <w:t xml:space="preserve">Collaborating with local authorities to ensure alignment with Abu Dhabi’s regulatory framework for automation and AI.</w:t>
      </w:r>
    </w:p>
    <w:p>
      <w:pPr>
        <w:pStyle w:val="FirstParagraph"/>
      </w:pPr>
      <w:r>
        <w:t xml:space="preserve">This proactive approach to compliance underscores the engineer’s professionalism and dedication to maintaining the highest standards in robotics development.</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essential for the success of robotics projects, particularly in a multicultural environment like Abu Dhabi. The Robotics Engineer excelled in these areas by:</w:t>
      </w:r>
    </w:p>
    <w:p>
      <w:pPr>
        <w:numPr>
          <w:ilvl w:val="0"/>
          <w:numId w:val="1004"/>
        </w:numPr>
        <w:pStyle w:val="Compact"/>
      </w:pPr>
      <w:r>
        <w:t xml:space="preserve">Working closely with cross-functional teams, including software developers, mechanical engineers, and project managers.</w:t>
      </w:r>
    </w:p>
    <w:p>
      <w:pPr>
        <w:numPr>
          <w:ilvl w:val="0"/>
          <w:numId w:val="1004"/>
        </w:numPr>
        <w:pStyle w:val="Compact"/>
      </w:pPr>
      <w:r>
        <w:t xml:space="preserve">Providing clear and concise technical documentation, ensuring transparency and alignment across teams.</w:t>
      </w:r>
    </w:p>
    <w:p>
      <w:pPr>
        <w:numPr>
          <w:ilvl w:val="0"/>
          <w:numId w:val="1004"/>
        </w:numPr>
        <w:pStyle w:val="Compact"/>
      </w:pPr>
      <w:r>
        <w:t xml:space="preserve">Engaging with stakeholders to gather requirements and provide updates on project progress.</w:t>
      </w:r>
    </w:p>
    <w:p>
      <w:pPr>
        <w:pStyle w:val="FirstParagraph"/>
      </w:pPr>
      <w:r>
        <w:t xml:space="preserve">The engineer’s ability to communicate complex technical concepts to non-technical stakeholders was particularly noteworthy, facilitating smoother project execution and stakeholder buy-in.</w:t>
      </w:r>
    </w:p>
    <w:bookmarkEnd w:id="25"/>
    <w:bookmarkStart w:id="26" w:name="innovation-and-problem-solving"/>
    <w:p>
      <w:pPr>
        <w:pStyle w:val="Heading2"/>
      </w:pPr>
      <w:r>
        <w:t xml:space="preserve">6. Innovation and Problem-Solving</w:t>
      </w:r>
    </w:p>
    <w:p>
      <w:pPr>
        <w:pStyle w:val="FirstParagraph"/>
      </w:pPr>
      <w:r>
        <w:t xml:space="preserve">Innovation is a cornerstone of the UAE’s vision for robotics and automation. The Robotics Engineer contributed significantly to this vision by:</w:t>
      </w:r>
    </w:p>
    <w:p>
      <w:pPr>
        <w:numPr>
          <w:ilvl w:val="0"/>
          <w:numId w:val="1005"/>
        </w:numPr>
        <w:pStyle w:val="Compact"/>
      </w:pPr>
      <w:r>
        <w:t xml:space="preserve">Developing novel solutions to challenges in robotic navigation, object recognition, and task automation.</w:t>
      </w:r>
    </w:p>
    <w:p>
      <w:pPr>
        <w:numPr>
          <w:ilvl w:val="0"/>
          <w:numId w:val="1005"/>
        </w:numPr>
        <w:pStyle w:val="Compact"/>
      </w:pPr>
      <w:r>
        <w:t xml:space="preserve">Exploring emerging technologies, such as edge computing and IoT, to enhance robotic capabilities.</w:t>
      </w:r>
    </w:p>
    <w:p>
      <w:pPr>
        <w:numPr>
          <w:ilvl w:val="0"/>
          <w:numId w:val="1005"/>
        </w:numPr>
        <w:pStyle w:val="Compact"/>
      </w:pPr>
      <w:r>
        <w:t xml:space="preserve">Proposing cost-effective and scalable solutions that align with the economic goals of Abu Dhabi.</w:t>
      </w:r>
    </w:p>
    <w:p>
      <w:pPr>
        <w:pStyle w:val="FirstParagraph"/>
      </w:pPr>
      <w:r>
        <w:t xml:space="preserve">The engineer’s innovative mindset and problem-solving skills have been instrumental in advancing robotics projects in the region.</w:t>
      </w:r>
    </w:p>
    <w:bookmarkEnd w:id="26"/>
    <w:bookmarkStart w:id="27" w:name="alignment-with-uae-strategic-goals"/>
    <w:p>
      <w:pPr>
        <w:pStyle w:val="Heading2"/>
      </w:pPr>
      <w:r>
        <w:t xml:space="preserve">7. Alignment with UAE Strategic Goals</w:t>
      </w:r>
    </w:p>
    <w:p>
      <w:pPr>
        <w:pStyle w:val="FirstParagraph"/>
      </w:pPr>
      <w:r>
        <w:t xml:space="preserve">The UAE, and Abu Dhabi in particular, has positioned itself as a global leader in robotics and AI. The Robotics Engineer’s work aligns closely with these strategic goals by:</w:t>
      </w:r>
    </w:p>
    <w:p>
      <w:pPr>
        <w:numPr>
          <w:ilvl w:val="0"/>
          <w:numId w:val="1006"/>
        </w:numPr>
        <w:pStyle w:val="Compact"/>
      </w:pPr>
      <w:r>
        <w:t xml:space="preserve">Contributing to the development of smart city initiatives, such as automated transportation and infrastructure monitoring.</w:t>
      </w:r>
    </w:p>
    <w:p>
      <w:pPr>
        <w:numPr>
          <w:ilvl w:val="0"/>
          <w:numId w:val="1006"/>
        </w:numPr>
        <w:pStyle w:val="Compact"/>
      </w:pPr>
      <w:r>
        <w:t xml:space="preserve">Supporting the UAE’s efforts to diversify its economy through technology-driven industries.</w:t>
      </w:r>
    </w:p>
    <w:p>
      <w:pPr>
        <w:numPr>
          <w:ilvl w:val="0"/>
          <w:numId w:val="1006"/>
        </w:numPr>
        <w:pStyle w:val="Compact"/>
      </w:pPr>
      <w:r>
        <w:t xml:space="preserve">Promoting knowledge transfer and capacity building within the local robotics ecosystem.</w:t>
      </w:r>
    </w:p>
    <w:p>
      <w:pPr>
        <w:pStyle w:val="FirstParagraph"/>
      </w:pPr>
      <w:r>
        <w:t xml:space="preserve">This alignment demonstrates the engineer’s commitment to supporting the UAE’s long-term vision for technological leadership.</w:t>
      </w:r>
    </w:p>
    <w:bookmarkEnd w:id="27"/>
    <w:bookmarkStart w:id="28" w:name="areas-for-improvement"/>
    <w:p>
      <w:pPr>
        <w:pStyle w:val="Heading2"/>
      </w:pPr>
      <w:r>
        <w:t xml:space="preserve">8. Areas for Improvement</w:t>
      </w:r>
    </w:p>
    <w:p>
      <w:pPr>
        <w:pStyle w:val="FirstParagraph"/>
      </w:pPr>
      <w:r>
        <w:t xml:space="preserve">While the Robotics Engineer has demonstrated exceptional performance, there are areas for further development:</w:t>
      </w:r>
    </w:p>
    <w:p>
      <w:pPr>
        <w:numPr>
          <w:ilvl w:val="0"/>
          <w:numId w:val="1007"/>
        </w:numPr>
        <w:pStyle w:val="Compact"/>
      </w:pPr>
      <w:r>
        <w:t xml:space="preserve">Enhancing expertise in regulatory frameworks specific to emerging robotics applications, such as autonomous drones.</w:t>
      </w:r>
    </w:p>
    <w:p>
      <w:pPr>
        <w:numPr>
          <w:ilvl w:val="0"/>
          <w:numId w:val="1007"/>
        </w:numPr>
        <w:pStyle w:val="Compact"/>
      </w:pPr>
      <w:r>
        <w:t xml:space="preserve">Increasing involvement in knowledge-sharing initiatives to foster a stronger local robotics community.</w:t>
      </w:r>
    </w:p>
    <w:p>
      <w:pPr>
        <w:numPr>
          <w:ilvl w:val="0"/>
          <w:numId w:val="1007"/>
        </w:numPr>
        <w:pStyle w:val="Compact"/>
      </w:pPr>
      <w:r>
        <w:t xml:space="preserve">Exploring opportunities for international collaboration to bring global best practices to Abu Dhabi.</w:t>
      </w:r>
    </w:p>
    <w:bookmarkEnd w:id="28"/>
    <w:bookmarkStart w:id="29" w:name="conclusion"/>
    <w:p>
      <w:pPr>
        <w:pStyle w:val="Heading2"/>
      </w:pPr>
      <w:r>
        <w:t xml:space="preserve">9. Conclusion</w:t>
      </w:r>
    </w:p>
    <w:p>
      <w:pPr>
        <w:pStyle w:val="FirstParagraph"/>
      </w:pPr>
      <w:r>
        <w:t xml:space="preserve">In conclusion, the Robotics Engineer has made significant contributions to the advancement of robotics in Abu Dhabi, United Arab Emirates. Their technical expertise, commitment to compliance, and alignment with the UAE’s strategic goals make them a valuable asset to the region’s robotics ecosystem. With continued focus on innovation and collaboration, the engineer is well-positioned to play a pivotal role in shaping the future of robotics in the UAE.</w:t>
      </w:r>
    </w:p>
    <w:bookmarkEnd w:id="29"/>
    <w:p>
      <w:pPr>
        <w:pStyle w:val="BodyText"/>
      </w:pPr>
      <w:r>
        <w:rPr>
          <w:bCs/>
          <w:b/>
        </w:rPr>
        <w:t xml:space="preserve">Reviewed By:</w:t>
      </w:r>
      <w:r>
        <w:t xml:space="preserve"> </w:t>
      </w:r>
      <w:r>
        <w:t xml:space="preserve">[Name]</w:t>
      </w:r>
    </w:p>
    <w:p>
      <w:pPr>
        <w:pStyle w:val="BodyText"/>
      </w:pPr>
      <w:r>
        <w:rPr>
          <w:bCs/>
          <w:b/>
        </w:rPr>
        <w:t xml:space="preserve">Title:</w:t>
      </w:r>
      <w:r>
        <w:t xml:space="preserve"> </w:t>
      </w:r>
      <w:r>
        <w:t xml:space="preserve">Senior Robotics Specialist</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Abu Dhabi, UAE</dc:title>
  <dc:creator/>
  <dc:language>en</dc:language>
  <cp:keywords/>
  <dcterms:created xsi:type="dcterms:W3CDTF">2026-10-10T07:03:59Z</dcterms:created>
  <dcterms:modified xsi:type="dcterms:W3CDTF">2026-10-10T07:03:59Z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