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Philippines</w:t>
      </w:r>
      <w:r>
        <w:t xml:space="preserve"> </w:t>
      </w:r>
      <w:r>
        <w:t xml:space="preserve">Manila</w:t>
      </w:r>
    </w:p>
    <w:bookmarkStart w:id="29"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Philippines Manila</w:t>
      </w:r>
      <w:r>
        <w:br/>
      </w:r>
      <w:r>
        <w:rPr>
          <w:bCs/>
          <w:b/>
        </w:rPr>
        <w:t xml:space="preserve">School Year:</w:t>
      </w:r>
      <w:r>
        <w:t xml:space="preserve"> </w:t>
      </w:r>
      <w:r>
        <w:t xml:space="preserve">2023-2024</w:t>
      </w:r>
    </w:p>
    <w:p>
      <w:pPr>
        <w:pStyle w:val="BodyText"/>
      </w:pPr>
      <w:r>
        <w:rPr>
          <w:bCs/>
          <w:b/>
        </w:rPr>
        <w:t xml:space="preserve">Date of Review:</w:t>
      </w:r>
      <w:r>
        <w:t xml:space="preserve"> </w:t>
      </w:r>
      <w:r>
        <w:t xml:space="preserve">October 24, 2023</w:t>
      </w:r>
      <w:r>
        <w:br/>
      </w:r>
      <w:r>
        <w:rPr>
          <w:bCs/>
          <w:b/>
        </w:rPr>
        <w:t xml:space="preserve">Review Type:</w:t>
      </w:r>
      <w:r>
        <w:t xml:space="preserve"> </w:t>
      </w:r>
      <w:r>
        <w:t xml:space="preserve">Formative Professional Evaluation</w:t>
      </w:r>
    </w:p>
    <w:bookmarkStart w:id="20" w:name="introduction-and-context"/>
    <w:p>
      <w:pPr>
        <w:pStyle w:val="Heading2"/>
      </w:pPr>
      <w:r>
        <w:t xml:space="preserve">1. Introduction and Context</w:t>
      </w:r>
    </w:p>
    <w:p>
      <w:pPr>
        <w:pStyle w:val="FirstParagraph"/>
      </w:pPr>
      <w:r>
        <w:t xml:space="preserve">This Peer Review Report serves as a formal assessment of the professional performance of a</w:t>
      </w:r>
      <w:r>
        <w:t xml:space="preserve"> </w:t>
      </w:r>
      <w:r>
        <w:rPr>
          <w:bCs/>
          <w:b/>
        </w:rPr>
        <w:t xml:space="preserve">School Counselor</w:t>
      </w:r>
      <w:r>
        <w:t xml:space="preserve"> </w:t>
      </w:r>
      <w:r>
        <w:t xml:space="preserve">operating within the dynamic educational landscape of</w:t>
      </w:r>
      <w:r>
        <w:t xml:space="preserve"> </w:t>
      </w:r>
      <w:r>
        <w:rPr>
          <w:bCs/>
          <w:b/>
        </w:rPr>
        <w:t xml:space="preserve">Philippines Manila</w:t>
      </w:r>
      <w:r>
        <w:t xml:space="preserve">. The review is conducted in alignment with the Department of Education (DepEd) guidelines and the standards set by the Philippine Association of Guidance and Counseling (PAGC).</w:t>
      </w:r>
    </w:p>
    <w:p>
      <w:pPr>
        <w:pStyle w:val="BodyText"/>
      </w:pPr>
      <w:r>
        <w:t xml:space="preserve">The primary objective of this review is to evaluate the counselor's adherence to professional ethics, the efficacy of their guidance programs, and their responsiveness to the unique socio-cultural needs of students in the National Capital Region (NCR). Given the high population density and diverse demographic makeup of Manila, the role of the School Counselor is critical in fostering student well-being, academic success, and social integration.</w:t>
      </w:r>
    </w:p>
    <w:bookmarkEnd w:id="20"/>
    <w:bookmarkStart w:id="21" w:name="evaluation-criteria"/>
    <w:p>
      <w:pPr>
        <w:pStyle w:val="Heading2"/>
      </w:pPr>
      <w:r>
        <w:t xml:space="preserve">2. Evaluation Criteria</w:t>
      </w:r>
    </w:p>
    <w:p>
      <w:pPr>
        <w:pStyle w:val="FirstParagraph"/>
      </w:pPr>
      <w:r>
        <w:t xml:space="preserve">The assessment is based on the following core competencies relevant to the Philippine educational context:</w:t>
      </w:r>
    </w:p>
    <w:p>
      <w:pPr>
        <w:numPr>
          <w:ilvl w:val="0"/>
          <w:numId w:val="1001"/>
        </w:numPr>
        <w:pStyle w:val="Compact"/>
      </w:pPr>
      <w:r>
        <w:rPr>
          <w:bCs/>
          <w:b/>
        </w:rPr>
        <w:t xml:space="preserve">Program Planning and Implementation:</w:t>
      </w:r>
      <w:r>
        <w:t xml:space="preserve"> </w:t>
      </w:r>
      <w:r>
        <w:t xml:space="preserve">Alignment with the K-12 curriculum and DepEd’s Guidance and Counseling Program.</w:t>
      </w:r>
    </w:p>
    <w:p>
      <w:pPr>
        <w:numPr>
          <w:ilvl w:val="0"/>
          <w:numId w:val="1001"/>
        </w:numPr>
        <w:pStyle w:val="Compact"/>
      </w:pPr>
      <w:r>
        <w:rPr>
          <w:bCs/>
          <w:b/>
        </w:rPr>
        <w:t xml:space="preserve">Student Support Services:</w:t>
      </w:r>
      <w:r>
        <w:t xml:space="preserve"> </w:t>
      </w:r>
      <w:r>
        <w:t xml:space="preserve">Effectiveness in individual counseling, crisis intervention, and case management.</w:t>
      </w:r>
    </w:p>
    <w:p>
      <w:pPr>
        <w:numPr>
          <w:ilvl w:val="0"/>
          <w:numId w:val="1001"/>
        </w:numPr>
        <w:pStyle w:val="Compact"/>
      </w:pPr>
      <w:r>
        <w:rPr>
          <w:bCs/>
          <w:b/>
        </w:rPr>
        <w:t xml:space="preserve">Cultural Competence:</w:t>
      </w:r>
      <w:r>
        <w:t xml:space="preserve"> </w:t>
      </w:r>
      <w:r>
        <w:t xml:space="preserve">Sensitivity to the diverse cultural, linguistic, and economic backgrounds of Manila students.</w:t>
      </w:r>
    </w:p>
    <w:p>
      <w:pPr>
        <w:numPr>
          <w:ilvl w:val="0"/>
          <w:numId w:val="1001"/>
        </w:numPr>
        <w:pStyle w:val="Compact"/>
      </w:pPr>
      <w:r>
        <w:rPr>
          <w:bCs/>
          <w:b/>
        </w:rPr>
        <w:t xml:space="preserve">Collaboration:</w:t>
      </w:r>
      <w:r>
        <w:t xml:space="preserve"> </w:t>
      </w:r>
      <w:r>
        <w:t xml:space="preserve">Engagement with teachers, parents, and community stakeholders.</w:t>
      </w:r>
    </w:p>
    <w:p>
      <w:pPr>
        <w:numPr>
          <w:ilvl w:val="0"/>
          <w:numId w:val="1001"/>
        </w:numPr>
        <w:pStyle w:val="Compact"/>
      </w:pPr>
      <w:r>
        <w:rPr>
          <w:bCs/>
          <w:b/>
        </w:rPr>
        <w:t xml:space="preserve">Professional Ethics:</w:t>
      </w:r>
      <w:r>
        <w:t xml:space="preserve"> </w:t>
      </w:r>
      <w:r>
        <w:t xml:space="preserve">Adherence to confidentiality and the Code of Ethics for Professional Teachers.</w:t>
      </w:r>
    </w:p>
    <w:bookmarkEnd w:id="21"/>
    <w:bookmarkStart w:id="26" w:name="detailed-observations-and-analysis"/>
    <w:p>
      <w:pPr>
        <w:pStyle w:val="Heading2"/>
      </w:pPr>
      <w:r>
        <w:t xml:space="preserve">3. Detailed Observations and Analysis</w:t>
      </w:r>
    </w:p>
    <w:bookmarkStart w:id="22" w:name="program-planning-and-implementation"/>
    <w:p>
      <w:pPr>
        <w:pStyle w:val="Heading3"/>
      </w:pPr>
      <w:r>
        <w:t xml:space="preserve">3.1 Program Planning and Implementation</w:t>
      </w:r>
    </w:p>
    <w:p>
      <w:pPr>
        <w:pStyle w:val="FirstParagraph"/>
      </w:pPr>
      <w:r>
        <w:t xml:space="preserve">The</w:t>
      </w:r>
      <w:r>
        <w:t xml:space="preserve"> </w:t>
      </w:r>
      <w:r>
        <w:rPr>
          <w:bCs/>
          <w:b/>
        </w:rPr>
        <w:t xml:space="preserve">School Counselor</w:t>
      </w:r>
      <w:r>
        <w:t xml:space="preserve"> </w:t>
      </w:r>
      <w:r>
        <w:t xml:space="preserve">has demonstrated a robust understanding of the DepEd’s guidance framework. The annual guidance plan submitted for the school year reflects a comprehensive approach, addressing academic, career, and personal-social development. Notably, the counselor has integrated career guidance modules that are highly relevant to the urban context of</w:t>
      </w:r>
      <w:r>
        <w:t xml:space="preserve"> </w:t>
      </w:r>
      <w:r>
        <w:rPr>
          <w:bCs/>
          <w:b/>
        </w:rPr>
        <w:t xml:space="preserve">Philippines Manila</w:t>
      </w:r>
      <w:r>
        <w:t xml:space="preserve">, focusing on both local tertiary institutions and emerging industries in the Metro Manila area.</w:t>
      </w:r>
    </w:p>
    <w:p>
      <w:pPr>
        <w:pStyle w:val="BodyText"/>
      </w:pPr>
      <w:r>
        <w:t xml:space="preserve">However, there is an opportunity to enhance the data-driven aspect of the program. While student feedback is collected, a more systematic analysis of this data could help tailor interventions more precisely to the specific needs of the student body.</w:t>
      </w:r>
    </w:p>
    <w:bookmarkEnd w:id="22"/>
    <w:bookmarkStart w:id="23" w:name="Xf939c56a7b0770deb2c0749283f61a03947f439"/>
    <w:p>
      <w:pPr>
        <w:pStyle w:val="Heading3"/>
      </w:pPr>
      <w:r>
        <w:t xml:space="preserve">3.2 Student Support Services and Crisis Intervention</w:t>
      </w:r>
    </w:p>
    <w:p>
      <w:pPr>
        <w:pStyle w:val="FirstParagraph"/>
      </w:pPr>
      <w:r>
        <w:t xml:space="preserve">One of the most commendable aspects of this</w:t>
      </w:r>
      <w:r>
        <w:t xml:space="preserve"> </w:t>
      </w:r>
      <w:r>
        <w:rPr>
          <w:bCs/>
          <w:b/>
        </w:rPr>
        <w:t xml:space="preserve">School Counselor</w:t>
      </w:r>
      <w:r>
        <w:t xml:space="preserve">’s performance is their responsiveness to student crises. In the high-pressure environment of Manila schools, issues such as bullying, family instability, and mental health challenges are prevalent. The counselor has established a safe, confidential space for students, evidenced by the high volume of voluntary consultations.</w:t>
      </w:r>
    </w:p>
    <w:p>
      <w:pPr>
        <w:pStyle w:val="BodyText"/>
      </w:pPr>
      <w:r>
        <w:t xml:space="preserve">The counselor effectively utilizes cognitive-behavioral techniques appropriate for the developmental stages of K-12 students. Furthermore, the referral system to external agencies in Manila, such as the National Center for Mental Health (NCMH) or local social welfare offices, is well-organized and timely. This ensures that students with severe needs receive specialized care beyond the school setting.</w:t>
      </w:r>
    </w:p>
    <w:bookmarkEnd w:id="23"/>
    <w:bookmarkStart w:id="24" w:name="cultural-competence-and-inclusivity"/>
    <w:p>
      <w:pPr>
        <w:pStyle w:val="Heading3"/>
      </w:pPr>
      <w:r>
        <w:t xml:space="preserve">3.3 Cultural Competence and Inclusivity</w:t>
      </w:r>
    </w:p>
    <w:p>
      <w:pPr>
        <w:pStyle w:val="FirstParagraph"/>
      </w:pPr>
      <w:r>
        <w:t xml:space="preserve">Operating in</w:t>
      </w:r>
      <w:r>
        <w:t xml:space="preserve"> </w:t>
      </w:r>
      <w:r>
        <w:rPr>
          <w:bCs/>
          <w:b/>
        </w:rPr>
        <w:t xml:space="preserve">Philippines Manila</w:t>
      </w:r>
      <w:r>
        <w:t xml:space="preserve"> </w:t>
      </w:r>
      <w:r>
        <w:t xml:space="preserve">requires a high degree of cultural agility. The counselor has shown exceptional sensitivity to the diverse backgrounds of students, including those from indigenous groups, migrant families, and varying socioeconomic statuses. The guidance materials are accessible and culturally relevant, avoiding elitist language and focusing on inclusive values.</w:t>
      </w:r>
    </w:p>
    <w:p>
      <w:pPr>
        <w:pStyle w:val="BodyText"/>
      </w:pPr>
      <w:r>
        <w:t xml:space="preserve">The counselor actively promotes inclusivity through anti-bullying campaigns and diversity workshops, which are crucial in a metropolitan setting where social stratification can be pronounced. This effort aligns well with the national goal of equitable education.</w:t>
      </w:r>
    </w:p>
    <w:bookmarkEnd w:id="24"/>
    <w:bookmarkStart w:id="25" w:name="collaboration-and-stakeholder-engagement"/>
    <w:p>
      <w:pPr>
        <w:pStyle w:val="Heading3"/>
      </w:pPr>
      <w:r>
        <w:t xml:space="preserve">3.4 Collaboration and Stakeholder Engagement</w:t>
      </w:r>
    </w:p>
    <w:p>
      <w:pPr>
        <w:pStyle w:val="FirstParagraph"/>
      </w:pPr>
      <w:r>
        <w:t xml:space="preserve">The</w:t>
      </w:r>
      <w:r>
        <w:t xml:space="preserve"> </w:t>
      </w:r>
      <w:r>
        <w:rPr>
          <w:bCs/>
          <w:b/>
        </w:rPr>
        <w:t xml:space="preserve">School Counselor</w:t>
      </w:r>
      <w:r>
        <w:t xml:space="preserve"> </w:t>
      </w:r>
      <w:r>
        <w:t xml:space="preserve">maintains strong collaborative relationships with classroom teachers, providing them with strategies to support at-risk students. Regular consultations with the school administration ensure that guidance initiatives are supported at the policy level.</w:t>
      </w:r>
    </w:p>
    <w:p>
      <w:pPr>
        <w:pStyle w:val="BodyText"/>
      </w:pPr>
      <w:r>
        <w:t xml:space="preserve">Parental engagement is another strength. The counselor has organized workshops for parents on topics such as "Supporting Teen Mental Health" and "Navigating Senior High School Tracks," which have been well-received. These initiatives help bridge the gap between home and school, a critical factor in student success in the Philippines.</w:t>
      </w:r>
    </w:p>
    <w:bookmarkEnd w:id="25"/>
    <w:bookmarkEnd w:id="26"/>
    <w:bookmarkStart w:id="27" w:name="areas-for-improvement"/>
    <w:p>
      <w:pPr>
        <w:pStyle w:val="Heading2"/>
      </w:pPr>
      <w:r>
        <w:t xml:space="preserve">4. Areas for Improvement</w:t>
      </w:r>
    </w:p>
    <w:p>
      <w:pPr>
        <w:pStyle w:val="FirstParagraph"/>
      </w:pPr>
      <w:r>
        <w:t xml:space="preserve">While the performance of the</w:t>
      </w:r>
      <w:r>
        <w:t xml:space="preserve"> </w:t>
      </w:r>
      <w:r>
        <w:rPr>
          <w:bCs/>
          <w:b/>
        </w:rPr>
        <w:t xml:space="preserve">School Counselor</w:t>
      </w:r>
      <w:r>
        <w:t xml:space="preserve"> </w:t>
      </w:r>
      <w:r>
        <w:t xml:space="preserve">is largely exemplary, the following areas require attention to further enhance effectiveness:</w:t>
      </w:r>
    </w:p>
    <w:p>
      <w:pPr>
        <w:numPr>
          <w:ilvl w:val="0"/>
          <w:numId w:val="1002"/>
        </w:numPr>
        <w:pStyle w:val="Compact"/>
      </w:pPr>
      <w:r>
        <w:rPr>
          <w:bCs/>
          <w:b/>
        </w:rPr>
        <w:t xml:space="preserve">Digital Integration:</w:t>
      </w:r>
      <w:r>
        <w:t xml:space="preserve"> </w:t>
      </w:r>
      <w:r>
        <w:t xml:space="preserve">Leveraging digital tools for counseling and career guidance could reach more students, especially given the tech-savvy nature of Manila youth. Developing an online portal for resources would be beneficial.</w:t>
      </w:r>
    </w:p>
    <w:p>
      <w:pPr>
        <w:numPr>
          <w:ilvl w:val="0"/>
          <w:numId w:val="1002"/>
        </w:numPr>
        <w:pStyle w:val="Compact"/>
      </w:pPr>
      <w:r>
        <w:rPr>
          <w:bCs/>
          <w:b/>
        </w:rPr>
        <w:t xml:space="preserve">Documentation:</w:t>
      </w:r>
      <w:r>
        <w:t xml:space="preserve"> </w:t>
      </w:r>
      <w:r>
        <w:t xml:space="preserve">While case management is thorough, the documentation process could be streamlined to ensure better tracking of long-term student progress and outcomes.</w:t>
      </w:r>
    </w:p>
    <w:p>
      <w:pPr>
        <w:numPr>
          <w:ilvl w:val="0"/>
          <w:numId w:val="1002"/>
        </w:numPr>
        <w:pStyle w:val="Compact"/>
      </w:pPr>
      <w:r>
        <w:rPr>
          <w:bCs/>
          <w:b/>
        </w:rPr>
        <w:t xml:space="preserve">Community Partnerships:</w:t>
      </w:r>
      <w:r>
        <w:t xml:space="preserve"> </w:t>
      </w:r>
      <w:r>
        <w:t xml:space="preserve">Expanding partnerships with local NGOs and businesses in Manila could provide more internship and mentorship opportunities for senior high school students.</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School Counselor</w:t>
      </w:r>
      <w:r>
        <w:t xml:space="preserve"> </w:t>
      </w:r>
      <w:r>
        <w:t xml:space="preserve">is performing at a high level of professional competence. Their dedication to the holistic development of students in</w:t>
      </w:r>
      <w:r>
        <w:t xml:space="preserve"> </w:t>
      </w:r>
      <w:r>
        <w:rPr>
          <w:bCs/>
          <w:b/>
        </w:rPr>
        <w:t xml:space="preserve">Philippines Manila</w:t>
      </w:r>
      <w:r>
        <w:t xml:space="preserve"> </w:t>
      </w:r>
      <w:r>
        <w:t xml:space="preserve">is evident in their proactive approach to guidance, counseling, and crisis management. The counselor plays a vital role in mitigating the challenges faced by students in a bustling urban environment.</w:t>
      </w:r>
    </w:p>
    <w:p>
      <w:pPr>
        <w:pStyle w:val="BodyText"/>
      </w:pPr>
      <w:r>
        <w:t xml:space="preserve">It is recommended that the counselor continues to refine their data analysis skills and explore digital platforms to expand their reach. Additionally, ongoing professional development in advanced counseling techniques and mental health first aid is encouraged to maintain the highest standards of care.</w:t>
      </w:r>
    </w:p>
    <w:p>
      <w:pPr>
        <w:pStyle w:val="BodyText"/>
      </w:pPr>
      <w:r>
        <w:t xml:space="preserve">This review underscores the importance of the School Counselor role in the Philippine education system and highlights the positive impact of dedicated professionals in shaping the future of students in Manila.</w:t>
      </w:r>
    </w:p>
    <w:bookmarkEnd w:id="28"/>
    <w:p>
      <w:pPr>
        <w:pStyle w:val="BodyText"/>
      </w:pPr>
      <w:r>
        <w:rPr>
          <w:bCs/>
          <w:b/>
        </w:rPr>
        <w:t xml:space="preserve">Reviewed By:</w:t>
      </w:r>
    </w:p>
    <w:p>
      <w:pPr>
        <w:pStyle w:val="BodyText"/>
      </w:pPr>
      <w:r>
        <w:t xml:space="preserve">[Name of Peer Reviewer]</w:t>
      </w:r>
    </w:p>
    <w:p>
      <w:pPr>
        <w:pStyle w:val="BodyText"/>
      </w:pPr>
      <w:r>
        <w:t xml:space="preserve">Senior Guidance Counselor / Department Head</w:t>
      </w:r>
    </w:p>
    <w:p>
      <w:pPr>
        <w:pStyle w:val="BodyText"/>
      </w:pPr>
      <w:r>
        <w:rPr>
          <w:bCs/>
          <w:b/>
        </w:rPr>
        <w:t xml:space="preserve">Reviewed:</w:t>
      </w:r>
    </w:p>
    <w:p>
      <w:pPr>
        <w:pStyle w:val="BodyText"/>
      </w:pPr>
      <w:r>
        <w:t xml:space="preserve">[Name of School Counselor]</w:t>
      </w:r>
    </w:p>
    <w:p>
      <w:pPr>
        <w:pStyle w:val="BodyText"/>
      </w:pPr>
      <w:r>
        <w:t xml:space="preserve">School Counselor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Philippines Manila</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