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Social Worker</w:t>
      </w:r>
    </w:p>
    <w:p>
      <w:pPr>
        <w:pStyle w:val="BodyText"/>
      </w:pPr>
      <w:r>
        <w:rPr>
          <w:bCs/>
          <w:b/>
        </w:rPr>
        <w:t xml:space="preserve">Location:</w:t>
      </w:r>
      <w:r>
        <w:t xml:space="preserve"> </w:t>
      </w:r>
      <w:r>
        <w:t xml:space="preserve">Melbourne, Victoria, Australia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practice, ethical adherence, and clinical competence of a registered Social Worker operating within the metropolitan area of Melbourne, Australia. The review aligns with the standards set by the Australian Association of Social Workers (AASW) and considers the specific legislative and cultural context of Victoria. The purpose of this document is to provide a comprehensive assessment of the practitioner's ability to deliver high-quality social work services, ensuring client safety, dignity, and empowerment.</w:t>
      </w:r>
    </w:p>
    <w:bookmarkEnd w:id="21"/>
    <w:bookmarkStart w:id="22" w:name="practitioner-and-context-details"/>
    <w:p>
      <w:pPr>
        <w:pStyle w:val="Heading2"/>
      </w:pPr>
      <w:r>
        <w:t xml:space="preserve">2. Practitioner and Context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[Name Redacted for Confidentiality]</w:t>
            </w:r>
          </w:p>
        </w:tc>
      </w:tr>
      <w:tr>
        <w:tc>
          <w:tcPr/>
          <w:p>
            <w:pPr>
              <w:pStyle w:val="Compact"/>
              <w:jc w:val="left"/>
            </w:pPr>
            <w:r>
              <w:t xml:space="preserve">AASW Registration Number</w:t>
            </w:r>
          </w:p>
        </w:tc>
        <w:tc>
          <w:tcPr/>
          <w:p>
            <w:pPr>
              <w:pStyle w:val="Compact"/>
              <w:jc w:val="left"/>
            </w:pPr>
            <w:r>
              <w:t xml:space="preserve">[Number Redacted]</w:t>
            </w:r>
          </w:p>
        </w:tc>
      </w:tr>
      <w:tr>
        <w:tc>
          <w:tcPr/>
          <w:p>
            <w:pPr>
              <w:pStyle w:val="Compact"/>
              <w:jc w:val="left"/>
            </w:pPr>
            <w:r>
              <w:t xml:space="preserve">Practice Setting</w:t>
            </w:r>
          </w:p>
        </w:tc>
        <w:tc>
          <w:tcPr/>
          <w:p>
            <w:pPr>
              <w:pStyle w:val="Compact"/>
              <w:jc w:val="left"/>
            </w:pPr>
            <w:r>
              <w:t xml:space="preserve">Community Health &amp; Family Support Services, Melbourne CBD</w:t>
            </w:r>
          </w:p>
        </w:tc>
      </w:tr>
      <w:tr>
        <w:tc>
          <w:tcPr/>
          <w:p>
            <w:pPr>
              <w:pStyle w:val="Compact"/>
              <w:jc w:val="left"/>
            </w:pPr>
            <w:r>
              <w:t xml:space="preserve">Specialization</w:t>
            </w:r>
          </w:p>
        </w:tc>
        <w:tc>
          <w:tcPr/>
          <w:p>
            <w:pPr>
              <w:pStyle w:val="Compact"/>
              <w:jc w:val="left"/>
            </w:pPr>
            <w:r>
              <w:t xml:space="preserve">Child Protection, Mental Health, and Multicultural Social Work</w:t>
            </w:r>
          </w:p>
        </w:tc>
      </w:tr>
      <w:tr>
        <w:tc>
          <w:tcPr/>
          <w:p>
            <w:pPr>
              <w:pStyle w:val="Compact"/>
              <w:jc w:val="left"/>
            </w:pPr>
            <w:r>
              <w:t xml:space="preserve">Reviewer Name</w:t>
            </w:r>
          </w:p>
        </w:tc>
        <w:tc>
          <w:tcPr/>
          <w:p>
            <w:pPr>
              <w:pStyle w:val="Compact"/>
              <w:jc w:val="left"/>
            </w:pPr>
            <w:r>
              <w:t xml:space="preserve">Senior Clinical Social Worker (AASW Accredited)</w:t>
            </w:r>
          </w:p>
        </w:tc>
      </w:tr>
    </w:tbl>
    <w:bookmarkEnd w:id="22"/>
    <w:bookmarkStart w:id="23" w:name="scope-of-review"/>
    <w:p>
      <w:pPr>
        <w:pStyle w:val="Heading2"/>
      </w:pPr>
      <w:r>
        <w:t xml:space="preserve">3. Scope of Review</w:t>
      </w:r>
    </w:p>
    <w:p>
      <w:pPr>
        <w:pStyle w:val="FirstParagraph"/>
      </w:pPr>
      <w:r>
        <w:t xml:space="preserve">This Peer Review Report focuses on the Social Worker's practice over the preceding six months. The review encompasses case file audits, direct observation of client interactions, and reflective interviews. Given the diverse demographic landscape of Melbourne, particular attention was paid to the practitioner's cultural competence when working with clients from culturally and linguistically diverse (CALD) backgrounds, as well as Aboriginal and Torres Strait Islander communities. The review assesses adherence to the AASW Code of Ethics and the Victorian Charter of Human Rights and Responsibilities.</w:t>
      </w:r>
    </w:p>
    <w:bookmarkEnd w:id="23"/>
    <w:bookmarkStart w:id="27" w:name="assessment-of-professional-competence"/>
    <w:p>
      <w:pPr>
        <w:pStyle w:val="Heading2"/>
      </w:pPr>
      <w:r>
        <w:t xml:space="preserve">4. Assessment of Professional Competence</w:t>
      </w:r>
    </w:p>
    <w:bookmarkStart w:id="24" w:name="ethical-practice-and-values"/>
    <w:p>
      <w:pPr>
        <w:pStyle w:val="Heading3"/>
      </w:pPr>
      <w:r>
        <w:t xml:space="preserve">4.1 Ethical Practice and Values</w:t>
      </w:r>
    </w:p>
    <w:p>
      <w:pPr>
        <w:pStyle w:val="FirstParagraph"/>
      </w:pPr>
      <w:r>
        <w:t xml:space="preserve">The Social Worker demonstrates a strong commitment to the core values of social work, including social justice, human rights, and integrity. In the context of Melbourne's complex social services sector, the practitioner consistently prioritizes client self-determination. Case notes reviewed indicate that informed consent is obtained thoroughly, and confidentiality is maintained in accordance with the Privacy Act 1988 (Cth). There were no breaches of ethical boundaries identified during this review period.</w:t>
      </w:r>
    </w:p>
    <w:bookmarkEnd w:id="24"/>
    <w:bookmarkStart w:id="25" w:name="cultural-competence-and-diversity"/>
    <w:p>
      <w:pPr>
        <w:pStyle w:val="Heading3"/>
      </w:pPr>
      <w:r>
        <w:t xml:space="preserve">4.2 Cultural Competence and Diversity</w:t>
      </w:r>
    </w:p>
    <w:p>
      <w:pPr>
        <w:pStyle w:val="FirstParagraph"/>
      </w:pPr>
      <w:r>
        <w:t xml:space="preserve">Operating in Australia Melbourne requires a nuanced understanding of multicultural dynamics. The Social Worker exhibits excellent cultural humility. The review highlights effective use of accredited interpreters and culturally appropriate engagement strategies. The practitioner actively seeks to understand the specific socio-economic challenges faced by clients in Melbourne's outer suburbs, demonstrating an ability to tailor interventions that are culturally safe and responsive.</w:t>
      </w:r>
    </w:p>
    <w:bookmarkEnd w:id="25"/>
    <w:bookmarkStart w:id="26" w:name="clinical-skills-and-intervention"/>
    <w:p>
      <w:pPr>
        <w:pStyle w:val="Heading3"/>
      </w:pPr>
      <w:r>
        <w:t xml:space="preserve">4.3 Clinical Skills and Intervention</w:t>
      </w:r>
    </w:p>
    <w:p>
      <w:pPr>
        <w:pStyle w:val="FirstParagraph"/>
      </w:pPr>
      <w:r>
        <w:t xml:space="preserve">The practitioner utilizes evidence-based practices suitable for the Victorian context. Interventions in family support cases show a clear application of strengths-based perspectives and trauma-informed care. The Social Worker effectively navigates the Victorian child protection system, ensuring timely referrals and advocacy for vulnerable children. Documentation is clear, concise, and legally defensible, reflecting a high standard of professional record-keeping.</w:t>
      </w:r>
    </w:p>
    <w:bookmarkEnd w:id="26"/>
    <w:bookmarkEnd w:id="27"/>
    <w:bookmarkStart w:id="28" w:name="areas-for-development"/>
    <w:p>
      <w:pPr>
        <w:pStyle w:val="Heading2"/>
      </w:pPr>
      <w:r>
        <w:t xml:space="preserve">5. Areas for Development</w:t>
      </w:r>
    </w:p>
    <w:p>
      <w:pPr>
        <w:pStyle w:val="FirstParagraph"/>
      </w:pPr>
      <w:r>
        <w:t xml:space="preserve">While the Social Worker performs at a high level, this Peer Review Report identifies two areas for continued professional growth:</w:t>
      </w:r>
    </w:p>
    <w:p>
      <w:pPr>
        <w:numPr>
          <w:ilvl w:val="0"/>
          <w:numId w:val="1001"/>
        </w:numPr>
        <w:pStyle w:val="Compact"/>
      </w:pPr>
      <w:r>
        <w:rPr>
          <w:bCs/>
          <w:b/>
        </w:rPr>
        <w:t xml:space="preserve">Interagency Collaboration:</w:t>
      </w:r>
      <w:r>
        <w:t xml:space="preserve"> </w:t>
      </w:r>
      <w:r>
        <w:t xml:space="preserve">While internal communication is strong, there is an opportunity to enhance formal collaboration with external Melbourne-based agencies, such as local housing services and legal aid, to create more holistic support networks for clients.</w:t>
      </w:r>
    </w:p>
    <w:p>
      <w:pPr>
        <w:numPr>
          <w:ilvl w:val="0"/>
          <w:numId w:val="1001"/>
        </w:numPr>
        <w:pStyle w:val="Compact"/>
      </w:pPr>
      <w:r>
        <w:rPr>
          <w:bCs/>
          <w:b/>
        </w:rPr>
        <w:t xml:space="preserve">Reflective Practice Documentation:</w:t>
      </w:r>
      <w:r>
        <w:t xml:space="preserve"> </w:t>
      </w:r>
      <w:r>
        <w:t xml:space="preserve">Although verbal reflection is evident, the written documentation of critical incidents and reflective learning could be more detailed to further support professional supervision and accountability.</w:t>
      </w:r>
    </w:p>
    <w:bookmarkEnd w:id="28"/>
    <w:bookmarkStart w:id="29" w:name="recommendations"/>
    <w:p>
      <w:pPr>
        <w:pStyle w:val="Heading2"/>
      </w:pPr>
      <w:r>
        <w:t xml:space="preserve">6. Recommendations</w:t>
      </w:r>
    </w:p>
    <w:p>
      <w:pPr>
        <w:pStyle w:val="FirstParagraph"/>
      </w:pPr>
      <w:r>
        <w:t xml:space="preserve">Based on the findings of this review, the following recommendations are made to support the ongoing development of the Social Worker:</w:t>
      </w:r>
    </w:p>
    <w:p>
      <w:pPr>
        <w:numPr>
          <w:ilvl w:val="0"/>
          <w:numId w:val="1002"/>
        </w:numPr>
        <w:pStyle w:val="Compact"/>
      </w:pPr>
      <w:r>
        <w:t xml:space="preserve">Engage in further professional development regarding the latest updates in Victorian mental health legislation.</w:t>
      </w:r>
    </w:p>
    <w:p>
      <w:pPr>
        <w:numPr>
          <w:ilvl w:val="0"/>
          <w:numId w:val="1002"/>
        </w:numPr>
        <w:pStyle w:val="Compact"/>
      </w:pPr>
      <w:r>
        <w:t xml:space="preserve">Participate in a workshop focused on advanced interagency case conferencing techniques.</w:t>
      </w:r>
    </w:p>
    <w:p>
      <w:pPr>
        <w:numPr>
          <w:ilvl w:val="0"/>
          <w:numId w:val="1002"/>
        </w:numPr>
        <w:pStyle w:val="Compact"/>
      </w:pPr>
      <w:r>
        <w:t xml:space="preserve">Continue regular clinical supervision to discuss complex ethical dilemmas arising in the Melbourne practice environment.</w:t>
      </w:r>
    </w:p>
    <w:bookmarkEnd w:id="29"/>
    <w:bookmarkStart w:id="30" w:name="conclusion"/>
    <w:p>
      <w:pPr>
        <w:pStyle w:val="Heading2"/>
      </w:pPr>
      <w:r>
        <w:t xml:space="preserve">7. Conclusion</w:t>
      </w:r>
    </w:p>
    <w:p>
      <w:pPr>
        <w:pStyle w:val="FirstParagraph"/>
      </w:pPr>
      <w:r>
        <w:t xml:space="preserve">This Peer Review Report concludes that the Social Worker is practicing competently, ethically, and effectively within the jurisdiction of Australia Melbourne. The practitioner demonstrates a deep understanding of the local social landscape and adheres strictly to the professional standards required by the AASW. The identified areas for development are minor and reflect a commitment to continuous improvement rather than any deficiency in current practice. The reviewer is satisfied that the practitioner is fit to continue their current scope of practice.</w:t>
      </w:r>
    </w:p>
    <w:bookmarkEnd w:id="30"/>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Practitioner Acknowledgement:</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Melbourne, Australia</dc:title>
  <dc:creator/>
  <dc:language>en</dc:language>
  <cp:keywords/>
  <dcterms:created xsi:type="dcterms:W3CDTF">2026-10-10T05:09:21Z</dcterms:created>
  <dcterms:modified xsi:type="dcterms:W3CDTF">2026-10-10T05:09:21Z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