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Social Worker</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Panel, NSW Division</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practice, ethical adherence, and clinical efficacy of a registered Social Worker operating within the metropolitan region of Australia Sydney. The purpose of this review is to ensure that the practitioner maintains the highest standards of care expected by the Australian Association of Social Workers (AASW) and complies with the specific legislative frameworks governing social services in New South Wales.</w:t>
      </w:r>
    </w:p>
    <w:p>
      <w:pPr>
        <w:pStyle w:val="BodyText"/>
      </w:pPr>
      <w:r>
        <w:t xml:space="preserve">In the dynamic and diverse environment of Australia Sydney, social workers face unique challenges ranging from housing insecurity and complex mental health needs to supporting multicultural communities. This report assesses whether the subject Social Worker demonstrates the requisite cultural competence, legal knowledge, and therapeutic skills to navigate these complexities effectively.</w:t>
      </w:r>
    </w:p>
    <w:bookmarkEnd w:id="21"/>
    <w:bookmarkStart w:id="22" w:name="scope-of-practice-and-context"/>
    <w:p>
      <w:pPr>
        <w:pStyle w:val="Heading2"/>
      </w:pPr>
      <w:r>
        <w:t xml:space="preserve">2. Scope of Practice and Context</w:t>
      </w:r>
    </w:p>
    <w:p>
      <w:pPr>
        <w:pStyle w:val="FirstParagraph"/>
      </w:pPr>
      <w:r>
        <w:t xml:space="preserve">The review focuses on the Social Worker’s practice over the preceding twelve months. The practitioner is engaged in community-based case management and direct therapeutic intervention. The scope of this Peer Review Report includes an analysis of case files, client feedback mechanisms, supervision records, and adherence to the AASW Code of Ethics.</w:t>
      </w:r>
    </w:p>
    <w:p>
      <w:pPr>
        <w:pStyle w:val="BodyText"/>
      </w:pPr>
      <w:r>
        <w:t xml:space="preserve">Given the specific context of Australia Sydney, particular attention was paid to the Social Worker’s engagement with local government services, non-government organizations (NGOs), and the public health system. The density and diversity of Sydney’s population require a practitioner to be highly adaptable and well-connected within the local support network.</w:t>
      </w:r>
    </w:p>
    <w:bookmarkEnd w:id="22"/>
    <w:bookmarkStart w:id="23" w:name="Xf33df5f0fe4ac267d17e4aac12c88037c737efb"/>
    <w:p>
      <w:pPr>
        <w:pStyle w:val="Heading2"/>
      </w:pPr>
      <w:r>
        <w:t xml:space="preserve">3. Ethical Practice and Professional Standards</w:t>
      </w:r>
    </w:p>
    <w:p>
      <w:pPr>
        <w:pStyle w:val="FirstParagraph"/>
      </w:pPr>
      <w:r>
        <w:t xml:space="preserve">A core component of this Peer Review Report is the evaluation of ethical conduct. The Social Worker has demonstrated a strong commitment to the AASW Code of Ethics, particularly regarding social justice, human rights, and professional integrity. The review found that the practitioner consistently prioritizes client self-determination while balancing the duty of care required under New South Wales law.</w:t>
      </w:r>
    </w:p>
    <w:p>
      <w:pPr>
        <w:pStyle w:val="BodyText"/>
      </w:pPr>
      <w:r>
        <w:t xml:space="preserve">Confidentiality protocols were rigorously assessed. The Social Worker adheres strictly to the Privacy Act 1988 (Cth) and the Health Records and Information Privacy Act 2002 (NSW). Documentation reviewed shows clear consent processes and secure handling of sensitive client data, which is critical in the urban setting of Australia Sydney where client anonymity can be easily compromised.</w:t>
      </w:r>
    </w:p>
    <w:bookmarkEnd w:id="23"/>
    <w:bookmarkStart w:id="24" w:name="cultural-competence-and-diversity"/>
    <w:p>
      <w:pPr>
        <w:pStyle w:val="Heading2"/>
      </w:pPr>
      <w:r>
        <w:t xml:space="preserve">4. Cultural Competence and Diversity</w:t>
      </w:r>
    </w:p>
    <w:p>
      <w:pPr>
        <w:pStyle w:val="FirstParagraph"/>
      </w:pPr>
      <w:r>
        <w:t xml:space="preserve">Australia Sydney is one of the most multicultural cities in the world. Consequently, cultural competence is not merely an asset but a fundamental requirement for effective social work practice. This Peer Review Report highlights the Social Worker’s proficiency in engaging with clients from diverse cultural, linguistic, and religious backgrounds.</w:t>
      </w:r>
    </w:p>
    <w:p>
      <w:pPr>
        <w:pStyle w:val="BodyText"/>
      </w:pPr>
      <w:r>
        <w:t xml:space="preserve">The practitioner has shown a nuanced understanding of the specific needs of Aboriginal and Torres Strait Islander clients, adhering to the principles of the National Agreement on Closing the Gap. Furthermore, the Social Worker effectively utilizes interpreters and culturally appropriate resources when working with clients from non-English speaking backgrounds, ensuring that language barriers do not impede access to essential services.</w:t>
      </w:r>
    </w:p>
    <w:bookmarkEnd w:id="24"/>
    <w:bookmarkStart w:id="25" w:name="X6086e515c0a056309e54bc1ff2e419dd6edc91f"/>
    <w:p>
      <w:pPr>
        <w:pStyle w:val="Heading2"/>
      </w:pPr>
      <w:r>
        <w:t xml:space="preserve">5. Clinical Effectiveness and Case Management</w:t>
      </w:r>
    </w:p>
    <w:p>
      <w:pPr>
        <w:pStyle w:val="FirstParagraph"/>
      </w:pPr>
      <w:r>
        <w:t xml:space="preserve">The review examined a sample of case files to assess the quality of assessment, planning, and intervention. The Social Worker demonstrates a strengths-based approach, focusing on client resilience and capacity rather than solely on deficits. This aligns with contemporary best practices in social work.</w:t>
      </w:r>
    </w:p>
    <w:p>
      <w:pPr>
        <w:pStyle w:val="BodyText"/>
      </w:pPr>
      <w:r>
        <w:t xml:space="preserve">In the context of Australia Sydney, where demand for services often exceeds supply, the Social Worker has shown excellent resourcefulness. They have successfully navigated complex referral pathways to secure housing, financial assistance, and mental health support for clients. The documentation reflects clear, measurable goals and regular review processes, ensuring that interventions remain relevant and effective.</w:t>
      </w:r>
    </w:p>
    <w:bookmarkEnd w:id="25"/>
    <w:bookmarkStart w:id="26" w:name="professional-development-and-supervision"/>
    <w:p>
      <w:pPr>
        <w:pStyle w:val="Heading2"/>
      </w:pPr>
      <w:r>
        <w:t xml:space="preserve">6. Professional Development and Supervision</w:t>
      </w:r>
    </w:p>
    <w:p>
      <w:pPr>
        <w:pStyle w:val="FirstParagraph"/>
      </w:pPr>
      <w:r>
        <w:t xml:space="preserve">Continuous professional development is essential for maintaining registration with the AASW. This Peer Review Report confirms that the Social Worker actively engages in ongoing learning. The practitioner has completed relevant training in trauma-informed care, domestic violence intervention, and suicide prevention, all of which are critical areas of focus in the current social landscape of Australia Sydney.</w:t>
      </w:r>
    </w:p>
    <w:p>
      <w:pPr>
        <w:pStyle w:val="BodyText"/>
      </w:pPr>
      <w:r>
        <w:t xml:space="preserve">Furthermore, the Social Worker participates in regular clinical supervision. Supervision records indicate a reflective practice where ethical dilemmas and complex cases are discussed openly. This commitment to supervision ensures that the practitioner remains supported and accountable, reducing the risk of burnout and enhancing the quality of care provided to clients.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cultural safety training, particularly regarding emerging communities within Australia Sydney.</w:t>
      </w:r>
    </w:p>
    <w:p>
      <w:pPr>
        <w:numPr>
          <w:ilvl w:val="0"/>
          <w:numId w:val="1001"/>
        </w:numPr>
        <w:pStyle w:val="Compact"/>
      </w:pPr>
      <w:r>
        <w:t xml:space="preserve">Enhance digital literacy to better utilize telehealth options, which have become increasingly important for client accessibility.</w:t>
      </w:r>
    </w:p>
    <w:p>
      <w:pPr>
        <w:numPr>
          <w:ilvl w:val="0"/>
          <w:numId w:val="1001"/>
        </w:numPr>
        <w:pStyle w:val="Compact"/>
      </w:pPr>
      <w:r>
        <w:t xml:space="preserve">Maintain current levels of engagement with local advocacy groups to stay informed about policy changes affecting vulnerable populations.</w:t>
      </w:r>
    </w:p>
    <w:bookmarkEnd w:id="27"/>
    <w:bookmarkStart w:id="28" w:name="conclusion"/>
    <w:p>
      <w:pPr>
        <w:pStyle w:val="Heading2"/>
      </w:pPr>
      <w:r>
        <w:t xml:space="preserve">8. Conclusion</w:t>
      </w:r>
    </w:p>
    <w:p>
      <w:pPr>
        <w:pStyle w:val="FirstParagraph"/>
      </w:pPr>
      <w:r>
        <w:t xml:space="preserve">In conclusion, this Peer Review Report affirms that the Social Worker under review is practicing at a high professional standard. They demonstrate a deep understanding of the ethical, legal, and cultural dimensions of social work in Australia Sydney. Their practice is client-centered, evidence-based, and committed to social justice. The panel is satisfied that the Social Worker is fit to continue their practice and contributes positively to the well-being of the community they serve.</w:t>
      </w:r>
    </w:p>
    <w:bookmarkEnd w:id="28"/>
    <w:p>
      <w:pPr>
        <w:pStyle w:val="BodyText"/>
      </w:pPr>
      <w:r>
        <w:rPr>
          <w:bCs/>
          <w:b/>
        </w:rPr>
        <w:t xml:space="preserve">Prepared by:</w:t>
      </w:r>
    </w:p>
    <w:p>
      <w:pPr>
        <w:pStyle w:val="BodyText"/>
      </w:pPr>
      <w:r>
        <w:t xml:space="preserve">Dr. Jane Doe, MSW, AASW Senior Member</w:t>
      </w:r>
    </w:p>
    <w:p>
      <w:pPr>
        <w:pStyle w:val="BodyText"/>
      </w:pPr>
      <w:r>
        <w:t xml:space="preserve">Lead Reviewer, Independent Peer Review Panel</w:t>
      </w:r>
    </w:p>
    <w:p>
      <w:pPr>
        <w:pStyle w:val="BodyText"/>
      </w:pPr>
      <w:r>
        <w:rPr>
          <w:iCs/>
          <w:i/>
        </w:rP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Australia Sydney</dc:title>
  <dc:creator/>
  <dc:language>en</dc:language>
  <cp:keywords/>
  <dcterms:created xsi:type="dcterms:W3CDTF">2026-10-10T03:52:42Z</dcterms:created>
  <dcterms:modified xsi:type="dcterms:W3CDTF">2026-10-10T03:52:42Z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