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competencies, ethical adherence, and operational effectiveness of a Social Worker operating within the complex socio-economic landscape of Medellín, Colombia. The purpose of this review is to ensure that the social worker’s practices align with the national standards set by the Ministry of Health and Social Protection, as well as the specific municipal guidelines established by the Secretaría de Bienestar Social de Medellín. This document serves as a formal record of professional observation, intended to foster continuous improvement, validate clinical efficacy, and ensure the highest quality of care for vulnerable populations in the Antioquia region.</w:t>
      </w:r>
    </w:p>
    <w:bookmarkEnd w:id="21"/>
    <w:bookmarkStart w:id="22" w:name="X9329395d0c9bb7d4fbee1e680a059cbc5d426a4"/>
    <w:p>
      <w:pPr>
        <w:pStyle w:val="Heading2"/>
      </w:pPr>
      <w:r>
        <w:t xml:space="preserve">2. Contextual Framework: The Medellín Environment</w:t>
      </w:r>
    </w:p>
    <w:p>
      <w:pPr>
        <w:pStyle w:val="FirstParagraph"/>
      </w:pPr>
      <w:r>
        <w:t xml:space="preserve">The evaluation of a Social Worker in Medellín requires a nuanced understanding of the local context. Medellín has undergone a profound transformation from a city historically plagued by violence to a global model of social urbanism. However, significant challenges remain, including income inequality, the presence of informal settlements (barrios populares), and the ongoing impact of internal displacement.</w:t>
      </w:r>
    </w:p>
    <w:p>
      <w:pPr>
        <w:pStyle w:val="BodyText"/>
      </w:pPr>
      <w:r>
        <w:t xml:space="preserve">Consequently, this Peer Review Report assesses the social worker’s ability to navigate these specific realities. The review focuses on how the professional integrates community-based interventions, collaborates with local entities such as the Comités de Acción Comunal, and addresses the unique needs of marginalized groups, including victims of the armed conflict and at-risk youth. The effectiveness of the social worker is measured not only by administrative compliance but by their tangible impact on community resilience and social cohesion within the city.</w:t>
      </w:r>
    </w:p>
    <w:bookmarkEnd w:id="22"/>
    <w:bookmarkStart w:id="25" w:name="evaluation-of-professional-competencies"/>
    <w:p>
      <w:pPr>
        <w:pStyle w:val="Heading2"/>
      </w:pPr>
      <w:r>
        <w:t xml:space="preserve">3. Evaluation of Professional Competencies</w:t>
      </w:r>
    </w:p>
    <w:bookmarkStart w:id="23" w:name="X070426798f76f41d7f917974885102e30e396ba"/>
    <w:p>
      <w:pPr>
        <w:pStyle w:val="Heading3"/>
      </w:pPr>
      <w:r>
        <w:t xml:space="preserve">3.1. Case Management and Intervention Strategies</w:t>
      </w:r>
    </w:p>
    <w:p>
      <w:pPr>
        <w:pStyle w:val="FirstParagraph"/>
      </w:pPr>
      <w:r>
        <w:t xml:space="preserve">The Social Worker demonstrates a robust capacity for case management, adhering to the principles of the Sistema General de Seguridad Social en Salud. The review indicates that the professional effectively utilizes biopsychosocial assessment tools to diagnose family dynamics and individual needs. In the context of Medellín, the social worker has shown particular strength in coordinating multidisciplinary teams, linking clients with local resources such as the Centros de Atención Integral a la Niñez y la Adolescencia (CAIN).</w:t>
      </w:r>
    </w:p>
    <w:p>
      <w:pPr>
        <w:pStyle w:val="BodyText"/>
      </w:pPr>
      <w:r>
        <w:t xml:space="preserve">However, the review notes that while individual case management is strong, there is room for improvement in long-term follow-up strategies for clients in high-risk zones. The social worker is encouraged to implement more rigorous tracking mechanisms to ensure continuity of care, particularly for families transitioning out of emergency assistance programs.</w:t>
      </w:r>
    </w:p>
    <w:bookmarkEnd w:id="23"/>
    <w:bookmarkStart w:id="24" w:name="X4ddf9ea2723922a3ee132557ca9362aa302349a"/>
    <w:p>
      <w:pPr>
        <w:pStyle w:val="Heading3"/>
      </w:pPr>
      <w:r>
        <w:t xml:space="preserve">3.2. Cultural Competence and Community Engagement</w:t>
      </w:r>
    </w:p>
    <w:p>
      <w:pPr>
        <w:pStyle w:val="FirstParagraph"/>
      </w:pPr>
      <w:r>
        <w:t xml:space="preserve">A critical aspect of this Peer Review Report is the assessment of cultural competence. The Social Worker exhibits a deep understanding of the local culture, respecting the traditions and social structures of the communities in Medellín. The professional effectively communicates with diverse populations, including Afro-Colombian and Indigenous communities residing in the metropolitan area.</w:t>
      </w:r>
    </w:p>
    <w:p>
      <w:pPr>
        <w:pStyle w:val="BodyText"/>
      </w:pPr>
      <w:r>
        <w:t xml:space="preserve">The review highlights successful engagement with community leaders, which has facilitated trust-building and increased program uptake. The social worker’s ability to adapt intervention strategies to the specific cultural norms of the barrios is a significant strength. This cultural sensitivity is vital for the success of social programs in Colombia, where trust in institutions can be fragile.</w:t>
      </w:r>
    </w:p>
    <w:bookmarkEnd w:id="24"/>
    <w:bookmarkEnd w:id="25"/>
    <w:bookmarkStart w:id="26" w:name="ethical-standards-and-legal-compliance"/>
    <w:p>
      <w:pPr>
        <w:pStyle w:val="Heading2"/>
      </w:pPr>
      <w:r>
        <w:t xml:space="preserve">4. Ethical Standards and Legal Compliance</w:t>
      </w:r>
    </w:p>
    <w:p>
      <w:pPr>
        <w:pStyle w:val="FirstParagraph"/>
      </w:pPr>
      <w:r>
        <w:t xml:space="preserve">The Social Worker’s adherence to the Código de Ética Profesional del Trabajo Social is strictly monitored in this report. The review confirms that the professional maintains high standards of confidentiality, integrity, and professional boundaries. There are no recorded violations of the Ley 1098 de 2006 (Código de la Infancia y la Adolescencia), which is paramount when working with minors in Colombia.</w:t>
      </w:r>
    </w:p>
    <w:p>
      <w:pPr>
        <w:pStyle w:val="BodyText"/>
      </w:pPr>
      <w:r>
        <w:t xml:space="preserve">Furthermore, the social worker demonstrates a clear understanding of the rights of victims under the Ley de Víctimas y Restitución de Tierras. The review notes that the professional consistently advocates for the rights of their clients, ensuring that they are aware of their legal entitlements and are supported in accessing justice mechanisms. This alignment with national legal frameworks is essential for the legitimacy and effectiveness of social work practice in Medellín.</w:t>
      </w:r>
    </w:p>
    <w:bookmarkEnd w:id="26"/>
    <w:bookmarkStart w:id="27" w:name="Xda79409093af40bd3d15ed7d2a5582dbca223f1"/>
    <w:p>
      <w:pPr>
        <w:pStyle w:val="Heading2"/>
      </w:pPr>
      <w:r>
        <w:t xml:space="preserve">5. Areas for Improvement and Recommendations</w:t>
      </w:r>
    </w:p>
    <w:p>
      <w:pPr>
        <w:pStyle w:val="FirstParagraph"/>
      </w:pPr>
      <w:r>
        <w:t xml:space="preserve">Based on the findings of this Peer Review Report, the following recommendations are proposed to enhance the Social Worker’s performance:</w:t>
      </w:r>
    </w:p>
    <w:p>
      <w:pPr>
        <w:numPr>
          <w:ilvl w:val="0"/>
          <w:numId w:val="1001"/>
        </w:numPr>
        <w:pStyle w:val="Compact"/>
      </w:pPr>
      <w:r>
        <w:rPr>
          <w:bCs/>
          <w:b/>
        </w:rPr>
        <w:t xml:space="preserve">Enhanced Data Documentation:</w:t>
      </w:r>
      <w:r>
        <w:t xml:space="preserve"> </w:t>
      </w:r>
      <w:r>
        <w:t xml:space="preserve">While qualitative assessments are strong, the social worker should improve the quantitative documentation of outcomes. This will facilitate better reporting to the municipal authorities and help in securing funding for future projects.</w:t>
      </w:r>
    </w:p>
    <w:p>
      <w:pPr>
        <w:numPr>
          <w:ilvl w:val="0"/>
          <w:numId w:val="1001"/>
        </w:numPr>
        <w:pStyle w:val="Compact"/>
      </w:pPr>
      <w:r>
        <w:rPr>
          <w:bCs/>
          <w:b/>
        </w:rPr>
        <w:t xml:space="preserve">Inter-institutional Collaboration:</w:t>
      </w:r>
      <w:r>
        <w:t xml:space="preserve"> </w:t>
      </w:r>
      <w:r>
        <w:t xml:space="preserve">The social worker is encouraged to strengthen partnerships with local NGOs and private sector entities in Medellín. Leveraging these networks can provide additional resources and support for clients.</w:t>
      </w:r>
    </w:p>
    <w:p>
      <w:pPr>
        <w:numPr>
          <w:ilvl w:val="0"/>
          <w:numId w:val="1001"/>
        </w:numPr>
        <w:pStyle w:val="Compact"/>
      </w:pPr>
      <w:r>
        <w:rPr>
          <w:bCs/>
          <w:b/>
        </w:rPr>
        <w:t xml:space="preserve">Specialized Training:</w:t>
      </w:r>
      <w:r>
        <w:t xml:space="preserve"> </w:t>
      </w:r>
      <w:r>
        <w:t xml:space="preserve">Given the evolving nature of social challenges in Colombia, the social worker should pursue specialized training in trauma-informed care and digital social work tools to better serve the population.</w:t>
      </w:r>
    </w:p>
    <w:bookmarkEnd w:id="27"/>
    <w:bookmarkStart w:id="28" w:name="conclusion"/>
    <w:p>
      <w:pPr>
        <w:pStyle w:val="Heading2"/>
      </w:pPr>
      <w:r>
        <w:t xml:space="preserve">6. Conclusion</w:t>
      </w:r>
    </w:p>
    <w:p>
      <w:pPr>
        <w:pStyle w:val="FirstParagraph"/>
      </w:pPr>
      <w:r>
        <w:t xml:space="preserve">In conclusion, this Peer Review Report affirms that the Social Worker is performing at a high professional level, demonstrating dedication, competence, and a strong ethical foundation. The professional’s work contributes significantly to the social fabric of Medellín, addressing critical needs with empathy and expertise. By implementing the recommended improvements, the social worker will further enhance their impact, ensuring that their practice remains responsive to the dynamic needs of the communities they serve in Colombia. This review serves as a testament to the importance of rigorous professional evaluation in maintaining the quality and integrity of social work services.</w:t>
      </w:r>
    </w:p>
    <w:bookmarkEnd w:id="28"/>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Social Work Supervisor</w:t>
      </w:r>
    </w:p>
    <w:p>
      <w:pPr>
        <w:pStyle w:val="BodyText"/>
      </w:pPr>
      <w:r>
        <w:rPr>
          <w:bCs/>
          <w:b/>
        </w:rPr>
        <w:t xml:space="preserve">Signature:</w:t>
      </w:r>
      <w:r>
        <w:t xml:space="preserve"> </w:t>
      </w:r>
      <w:r>
        <w:t xml:space="preserve">__________________________</w:t>
      </w:r>
    </w:p>
    <w:p>
      <w:pPr>
        <w:pStyle w:val="BodyText"/>
      </w:pPr>
      <w:r>
        <w:rPr>
          <w:bCs/>
          <w:b/>
        </w:rPr>
        <w:t xml:space="preserve">Reviewed Social Worker:</w:t>
      </w:r>
      <w:r>
        <w:t xml:space="preserve"> </w:t>
      </w:r>
      <w:r>
        <w:t xml:space="preserve">[Name of Social Worker]</w:t>
      </w:r>
    </w:p>
    <w:p>
      <w:pPr>
        <w:pStyle w:val="BodyText"/>
      </w:pPr>
      <w:r>
        <w:rPr>
          <w:bCs/>
          <w:b/>
        </w:rPr>
        <w:t xml:space="preserve">Title:</w:t>
      </w:r>
      <w:r>
        <w:t xml:space="preserve"> </w:t>
      </w:r>
      <w:r>
        <w:t xml:space="preserve">Social Worker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