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ethical adherence, and clinical efficacy of a Social Worker operating within the complex socio-economic landscape of Indonesia Jakarta. The purpose of this document is to ensure that the standards of social work practice in the capital city align with both national regulations set by the Ministry of Social Affairs and international best practices.</w:t>
      </w:r>
    </w:p>
    <w:p>
      <w:pPr>
        <w:pStyle w:val="BodyText"/>
      </w:pPr>
      <w:r>
        <w:t xml:space="preserve">Jakarta presents a unique environment for social work, characterized by rapid urbanization, significant economic disparity, and a diverse cultural fabric. Consequently, the Social Worker under review is expected to demonstrate high levels of cultural competence, adaptability, and resourcefulness. This review was conducted by a panel of senior social work practitioners to assess the subject's ability to navigate these specific challenges while providing effective support to vulnerable populations.</w:t>
      </w:r>
    </w:p>
    <w:bookmarkEnd w:id="21"/>
    <w:bookmarkStart w:id="22" w:name="scope-of-practice-and-case-management"/>
    <w:p>
      <w:pPr>
        <w:pStyle w:val="Heading2"/>
      </w:pPr>
      <w:r>
        <w:t xml:space="preserve">2. Scope of Practice and Case Management</w:t>
      </w:r>
    </w:p>
    <w:p>
      <w:pPr>
        <w:pStyle w:val="FirstParagraph"/>
      </w:pPr>
      <w:r>
        <w:t xml:space="preserve">The primary focus of this review was the Social Worker's case management protocols. In Indonesia Jakarta, social workers often deal with multifaceted issues ranging from child protection and domestic violence to homelessness among migrant workers. The review found that the Social Worker maintains a robust caseload management system.</w:t>
      </w:r>
    </w:p>
    <w:p>
      <w:pPr>
        <w:pStyle w:val="BodyText"/>
      </w:pPr>
      <w:r>
        <w:t xml:space="preserve">Specifically, the Social Worker demonstrated proficiency in conducting initial assessments that account for the specific legal and social frameworks of Indonesia. For instance, when handling cases involving street children in areas like Tanah Abang or Glodok, the Social Worker effectively utilized community-based resources and collaborated with local neighborhood units (RT/RW). This localized approach is critical in Jakarta, where community trust is paramount for successful intervention.</w:t>
      </w:r>
    </w:p>
    <w:p>
      <w:pPr>
        <w:pStyle w:val="BodyText"/>
      </w:pPr>
      <w:r>
        <w:t xml:space="preserve">However, the review noted that while immediate crisis intervention is handled excellently, long-term follow-up mechanisms could be strengthened. The high mobility of clients in Jakarta often leads to lost contact, and the Social Worker is advised to implement more resilient tracking methods to ensure continuity of care.</w:t>
      </w:r>
    </w:p>
    <w:bookmarkEnd w:id="22"/>
    <w:bookmarkStart w:id="23" w:name="Xe562e89a5272cac4022a950c9678ec614c8c412"/>
    <w:p>
      <w:pPr>
        <w:pStyle w:val="Heading2"/>
      </w:pPr>
      <w:r>
        <w:t xml:space="preserve">3. Ethical Standards and Cultural Competence</w:t>
      </w:r>
    </w:p>
    <w:p>
      <w:pPr>
        <w:pStyle w:val="FirstParagraph"/>
      </w:pPr>
      <w:r>
        <w:t xml:space="preserve">Adherence to the Code of Ethics is a cornerstone of this Peer Review Report. The Social Worker was evaluated on their ability to maintain confidentiality, ensure informed consent, and practice without discrimination. In the context of Indonesia Jakarta, cultural competence is not merely a skill but a necessity. The Social Worker must navigate a society that is predominantly Muslim but highly pluralistic, with strong traditional family structures.</w:t>
      </w:r>
    </w:p>
    <w:p>
      <w:pPr>
        <w:pStyle w:val="BodyText"/>
      </w:pPr>
      <w:r>
        <w:t xml:space="preserve">The review commends the Social Worker for their respectful engagement with diverse religious and ethnic groups. They have shown an ability to mediate family conflicts by respecting local customs while upholding the rights of the individual, particularly women and children. This balance is delicate in Indonesia, where family honor can sometimes overshadow individual rights. The Social Worker's ability to advocate for vulnerable clients without alienating their support networks is a significant strength.</w:t>
      </w:r>
    </w:p>
    <w:p>
      <w:pPr>
        <w:pStyle w:val="BodyText"/>
      </w:pPr>
      <w:r>
        <w:t xml:space="preserve">One area for improvement identified in this report is the documentation of ethical dilemmas. Given the bureaucratic nature of social services in Jakarta, Social Workers often face pressure from various stakeholders. It is recommended that the Social Worker maintain a more detailed log of ethical decision-making processes to protect both the client and the practitioner.</w:t>
      </w:r>
    </w:p>
    <w:bookmarkEnd w:id="23"/>
    <w:bookmarkStart w:id="24" w:name="interdisciplinary-collaboration"/>
    <w:p>
      <w:pPr>
        <w:pStyle w:val="Heading2"/>
      </w:pPr>
      <w:r>
        <w:t xml:space="preserve">4. Interdisciplinary Collaboration</w:t>
      </w:r>
    </w:p>
    <w:p>
      <w:pPr>
        <w:pStyle w:val="FirstParagraph"/>
      </w:pPr>
      <w:r>
        <w:t xml:space="preserve">Effective social work in Indonesia Jakarta requires seamless collaboration with law enforcement, healthcare providers, and educational institutions. This Peer Review Report highlights the Social Worker's active participation in multi-disciplinary teams.</w:t>
      </w:r>
    </w:p>
    <w:p>
      <w:pPr>
        <w:pStyle w:val="BodyText"/>
      </w:pPr>
      <w:r>
        <w:t xml:space="preserve">The Social Worker has established strong working relationships with local police units regarding cases of domestic violence and with hospitals for cases involving medical neglect. This network is vital in Jakarta, where systemic fragmentation can hinder service delivery. The review notes that the Social Worker acts as a crucial liaison, translating the needs of vulnerable clients into actionable steps for government agencies.</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Social Worker is deemed competent and effective in their role within Indonesia Jakarta. They demonstrate a deep understanding of the local context and a genuine commitment to social justice.</w:t>
      </w:r>
    </w:p>
    <w:p>
      <w:pPr>
        <w:pStyle w:val="BodyText"/>
      </w:pPr>
      <w:r>
        <w:rPr>
          <w:bCs/>
          <w:b/>
        </w:rPr>
        <w:t xml:space="preserve">Key Recommendations:</w:t>
      </w:r>
    </w:p>
    <w:p>
      <w:pPr>
        <w:numPr>
          <w:ilvl w:val="0"/>
          <w:numId w:val="1001"/>
        </w:numPr>
        <w:pStyle w:val="Compact"/>
      </w:pPr>
      <w:r>
        <w:t xml:space="preserve">Enhance long-term client tracking systems to address the high mobility of the Jakarta population.</w:t>
      </w:r>
    </w:p>
    <w:p>
      <w:pPr>
        <w:numPr>
          <w:ilvl w:val="0"/>
          <w:numId w:val="1001"/>
        </w:numPr>
        <w:pStyle w:val="Compact"/>
      </w:pPr>
      <w:r>
        <w:t xml:space="preserve">Engage in further training on digital case management tools to improve efficiency.</w:t>
      </w:r>
    </w:p>
    <w:p>
      <w:pPr>
        <w:numPr>
          <w:ilvl w:val="0"/>
          <w:numId w:val="1001"/>
        </w:numPr>
        <w:pStyle w:val="Compact"/>
      </w:pPr>
      <w:r>
        <w:t xml:space="preserve">Strengthen documentation of ethical decision-making to navigate complex bureaucratic environments.</w:t>
      </w:r>
    </w:p>
    <w:p>
      <w:pPr>
        <w:pStyle w:val="FirstParagraph"/>
      </w:pPr>
      <w:r>
        <w:t xml:space="preserve">This report concludes that the Social Worker is a valuable asset to the social service sector in Indonesia Jakarta. Continued professional development and peer supervision are encouraged to maintain the high standards observed during this review period.</w:t>
      </w:r>
    </w:p>
    <w:bookmarkEnd w:id="25"/>
    <w:p>
      <w:pPr>
        <w:pStyle w:val="BodyText"/>
      </w:pPr>
      <w:r>
        <w:rPr>
          <w:bCs/>
          <w:b/>
        </w:rPr>
        <w:t xml:space="preserve">Reviewed By:</w:t>
      </w:r>
    </w:p>
    <w:p>
      <w:pPr>
        <w:pStyle w:val="BodyText"/>
      </w:pPr>
      <w:r>
        <w:t xml:space="preserve">Senior Social Work Supervisor</w:t>
      </w:r>
    </w:p>
    <w:p>
      <w:pPr>
        <w:pStyle w:val="BodyText"/>
      </w:pPr>
      <w:r>
        <w:t xml:space="preserve">Indonesia Jakarta Chapter</w:t>
      </w:r>
    </w:p>
    <w:p>
      <w:pPr>
        <w:pStyle w:val="BodyText"/>
      </w:pPr>
      <w:r>
        <w:rPr>
          <w:bCs/>
          <w:b/>
        </w:rPr>
        <w:t xml:space="preserve">Reviewed By:</w:t>
      </w:r>
    </w:p>
    <w:p>
      <w:pPr>
        <w:pStyle w:val="BodyText"/>
      </w:pPr>
      <w:r>
        <w:t xml:space="preserve">Peer Review Committee Chair</w:t>
      </w:r>
    </w:p>
    <w:p>
      <w:pPr>
        <w:pStyle w:val="BodyText"/>
      </w:pPr>
      <w:r>
        <w:t xml:space="preserve">Professional Social Work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Indonesia Jakarta</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