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Worker</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Performance Evaluation of Social Worker</w:t>
      </w:r>
    </w:p>
    <w:p>
      <w:pPr>
        <w:pStyle w:val="BodyText"/>
      </w:pPr>
      <w:r>
        <w:rPr>
          <w:bCs/>
          <w:b/>
        </w:rPr>
        <w:t xml:space="preserve">Location:</w:t>
      </w:r>
      <w:r>
        <w:t xml:space="preserve"> </w:t>
      </w:r>
      <w:r>
        <w:t xml:space="preserve">Almaty, Kazakhstan</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introduction-and-context"/>
    <w:p>
      <w:pPr>
        <w:pStyle w:val="Heading2"/>
      </w:pPr>
      <w:r>
        <w:t xml:space="preserve">1. Introduction and Context</w:t>
      </w:r>
    </w:p>
    <w:p>
      <w:pPr>
        <w:pStyle w:val="FirstParagraph"/>
      </w:pPr>
      <w:r>
        <w:t xml:space="preserve">This Peer Review Report serves as a formal assessment of the professional conduct, clinical efficacy, and administrative compliance of a Social Worker operating within the municipal social services framework of Almaty, Kazakhstan. The purpose of this review is to ensure that the social worker adheres to the national standards set forth by the Ministry of Labor and Social Protection of the Population of the Republic of Kazakhstan, while also addressing the unique socio-cultural dynamics of Almaty as the country's largest economic and cultural hub.</w:t>
      </w:r>
    </w:p>
    <w:p>
      <w:pPr>
        <w:pStyle w:val="BodyText"/>
      </w:pPr>
      <w:r>
        <w:t xml:space="preserve">The review was conducted by a panel of senior social work practitioners and compliance officers. The evaluation focuses on case management, ethical adherence, community engagement, and the integration of modern social work methodologies within the specific context of Kazakhstan's evolving social welfare system.</w:t>
      </w:r>
    </w:p>
    <w:bookmarkEnd w:id="21"/>
    <w:bookmarkStart w:id="24" w:name="assessment-of-professional-competence"/>
    <w:p>
      <w:pPr>
        <w:pStyle w:val="Heading2"/>
      </w:pPr>
      <w:r>
        <w:t xml:space="preserve">2. Assessment of Professional Competence</w:t>
      </w:r>
    </w:p>
    <w:bookmarkStart w:id="22" w:name="case-management-and-client-advocacy"/>
    <w:p>
      <w:pPr>
        <w:pStyle w:val="Heading3"/>
      </w:pPr>
      <w:r>
        <w:t xml:space="preserve">2.1 Case Management and Client Advocacy</w:t>
      </w:r>
    </w:p>
    <w:p>
      <w:pPr>
        <w:pStyle w:val="FirstParagraph"/>
      </w:pPr>
      <w:r>
        <w:t xml:space="preserve">The Social Worker has demonstrated a robust capacity for case management, particularly in handling complex family units and vulnerable populations in Almaty. The review highlights the worker's ability to navigate the bureaucratic landscape of Kazakhstan's social assistance programs. Specifically, the worker has shown proficiency in assisting clients with the "Electronic Queue" system and ensuring timely access to state benefits for low-income families, orphans, and the elderly.</w:t>
      </w:r>
    </w:p>
    <w:p>
      <w:pPr>
        <w:pStyle w:val="BodyText"/>
      </w:pPr>
      <w:r>
        <w:t xml:space="preserve">In the context of Almaty's rapid urbanization, the Social Worker has effectively addressed issues related to housing insecurity and migration. The review notes that the worker successfully mediated several disputes involving tenant rights and landlord obligations, aligning interventions with the Housing Code of the Republic of Kazakhstan. The worker's approach to advocacy is proactive, ensuring that clients are not only aware of their rights but are also empowered to navigate the legal and social systems independently.</w:t>
      </w:r>
    </w:p>
    <w:bookmarkEnd w:id="22"/>
    <w:bookmarkStart w:id="23" w:name="Xe91f654f46d2be97a733b0726dd5798d8a38265"/>
    <w:p>
      <w:pPr>
        <w:pStyle w:val="Heading3"/>
      </w:pPr>
      <w:r>
        <w:t xml:space="preserve">2.2 Cultural Competence and Linguistic Proficiency</w:t>
      </w:r>
    </w:p>
    <w:p>
      <w:pPr>
        <w:pStyle w:val="FirstParagraph"/>
      </w:pPr>
      <w:r>
        <w:t xml:space="preserve">A critical aspect of social work in Almaty is the ability to operate within a multi-ethnic and multi-lingual environment. This Peer Review Report confirms that the Social Worker possesses high levels of cultural competence. The worker effectively communicates in both Kazakh and Russian, the primary languages of administration and daily life in the region. This linguistic duality has been instrumental in building trust with diverse client groups, including ethnic minorities and recent rural-to-urban migrants.</w:t>
      </w:r>
    </w:p>
    <w:p>
      <w:pPr>
        <w:pStyle w:val="BodyText"/>
      </w:pPr>
      <w:r>
        <w:t xml:space="preserve">The worker demonstrates a deep understanding of the traditional family structures prevalent in Kazakhstan, balancing respect for cultural norms with the enforcement of modern legal standards regarding child protection and domestic violence. This balance is essential in Almaty, where traditional values often intersect with progressive urban lifestyles.</w:t>
      </w:r>
    </w:p>
    <w:bookmarkEnd w:id="23"/>
    <w:bookmarkEnd w:id="24"/>
    <w:bookmarkStart w:id="27" w:name="ethical-standards-and-compliance"/>
    <w:p>
      <w:pPr>
        <w:pStyle w:val="Heading2"/>
      </w:pPr>
      <w:r>
        <w:t xml:space="preserve">3. Ethical Standards and Compliance</w:t>
      </w:r>
    </w:p>
    <w:bookmarkStart w:id="25" w:name="adherence-to-the-code-of-ethics"/>
    <w:p>
      <w:pPr>
        <w:pStyle w:val="Heading3"/>
      </w:pPr>
      <w:r>
        <w:t xml:space="preserve">3.1 Adherence to the Code of Ethics</w:t>
      </w:r>
    </w:p>
    <w:p>
      <w:pPr>
        <w:pStyle w:val="FirstParagraph"/>
      </w:pPr>
      <w:r>
        <w:t xml:space="preserve">The Social Worker has strictly adhered to the Code of Ethics for Social Workers in Kazakhstan. Confidentiality has been maintained at the highest level, with no breaches of client privacy recorded during the review period. The worker has consistently demonstrated impartiality, avoiding conflicts of interest in the allocation of social resources.</w:t>
      </w:r>
    </w:p>
    <w:p>
      <w:pPr>
        <w:pStyle w:val="BodyText"/>
      </w:pPr>
      <w:r>
        <w:t xml:space="preserve">Furthermore, the worker has shown a strong commitment to the principle of "do no harm." In cases involving domestic violence, the worker has followed the mandatory reporting protocols established by Kazakh law, ensuring the safety of victims while coordinating with law enforcement and support centers in Almaty.</w:t>
      </w:r>
    </w:p>
    <w:bookmarkEnd w:id="25"/>
    <w:bookmarkStart w:id="26" w:name="documentation-and-record-keeping"/>
    <w:p>
      <w:pPr>
        <w:pStyle w:val="Heading3"/>
      </w:pPr>
      <w:r>
        <w:t xml:space="preserve">3.2 Documentation and Record Keeping</w:t>
      </w:r>
    </w:p>
    <w:p>
      <w:pPr>
        <w:pStyle w:val="FirstParagraph"/>
      </w:pPr>
      <w:r>
        <w:t xml:space="preserve">Documentation is a cornerstone of social work practice, particularly for audit and funding purposes. The review found that the Social Worker maintains accurate, up-to-date, and comprehensive case files. The worker has successfully transitioned to digital record-keeping systems mandated by the Almaty City Department of Social Protection, ensuring that data is secure and accessible for inter-agency collaboration.</w:t>
      </w:r>
    </w:p>
    <w:bookmarkEnd w:id="26"/>
    <w:bookmarkEnd w:id="27"/>
    <w:bookmarkStart w:id="28" w:name="community-engagement-and-collaboration"/>
    <w:p>
      <w:pPr>
        <w:pStyle w:val="Heading2"/>
      </w:pPr>
      <w:r>
        <w:t xml:space="preserve">4. Community Engagement and Collaboration</w:t>
      </w:r>
    </w:p>
    <w:p>
      <w:pPr>
        <w:pStyle w:val="FirstParagraph"/>
      </w:pPr>
      <w:r>
        <w:t xml:space="preserve">The Social Worker has actively participated in community outreach programs within Almaty. The review highlights successful collaborations with local NGOs, religious organizations, and educational institutions. These partnerships have been vital in addressing issues such as youth unemployment, substance abuse, and elderly care.</w:t>
      </w:r>
    </w:p>
    <w:p>
      <w:pPr>
        <w:pStyle w:val="BodyText"/>
      </w:pPr>
      <w:r>
        <w:t xml:space="preserve">Notably, the worker organized a series of workshops on mental health awareness in the Almaty district, which received positive feedback from participants. This initiative aligns with the national strategy to destigmatize mental health issues and improve access to psychological support services.</w:t>
      </w:r>
    </w:p>
    <w:bookmarkEnd w:id="28"/>
    <w:bookmarkStart w:id="29" w:name="areas-for-improvement"/>
    <w:p>
      <w:pPr>
        <w:pStyle w:val="Heading2"/>
      </w:pPr>
      <w:r>
        <w:t xml:space="preserve">5. Areas for Improvement</w:t>
      </w:r>
    </w:p>
    <w:p>
      <w:pPr>
        <w:pStyle w:val="FirstParagraph"/>
      </w:pPr>
      <w:r>
        <w:t xml:space="preserve">While the overall performance is commendable, this Peer Review Report identifies areas for professional growth:</w:t>
      </w:r>
    </w:p>
    <w:p>
      <w:pPr>
        <w:numPr>
          <w:ilvl w:val="0"/>
          <w:numId w:val="1001"/>
        </w:numPr>
        <w:pStyle w:val="Compact"/>
      </w:pPr>
      <w:r>
        <w:rPr>
          <w:bCs/>
          <w:b/>
        </w:rPr>
        <w:t xml:space="preserve">Advanced Trauma-Informed Care:</w:t>
      </w:r>
      <w:r>
        <w:t xml:space="preserve"> </w:t>
      </w:r>
      <w:r>
        <w:t xml:space="preserve">It is recommended that the Social Worker pursue further training in trauma-informed care techniques, particularly for victims of domestic violence and conflict-related trauma, which are increasingly prevalent in urban centers like Almaty.</w:t>
      </w:r>
    </w:p>
    <w:p>
      <w:pPr>
        <w:numPr>
          <w:ilvl w:val="0"/>
          <w:numId w:val="1001"/>
        </w:numPr>
        <w:pStyle w:val="Compact"/>
      </w:pPr>
      <w:r>
        <w:rPr>
          <w:bCs/>
          <w:b/>
        </w:rPr>
        <w:t xml:space="preserve">Digital Literacy:</w:t>
      </w:r>
      <w:r>
        <w:t xml:space="preserve"> </w:t>
      </w:r>
      <w:r>
        <w:t xml:space="preserve">While proficient in basic digital tools, the worker should enhance their skills in using advanced data analytics to track client outcomes and measure the effectiveness of interventions.</w:t>
      </w:r>
    </w:p>
    <w:p>
      <w:pPr>
        <w:numPr>
          <w:ilvl w:val="0"/>
          <w:numId w:val="1001"/>
        </w:numPr>
        <w:pStyle w:val="Compact"/>
      </w:pPr>
      <w:r>
        <w:rPr>
          <w:bCs/>
          <w:b/>
        </w:rPr>
        <w:t xml:space="preserve">Inter-Agency Coordination:</w:t>
      </w:r>
      <w:r>
        <w:t xml:space="preserve"> </w:t>
      </w:r>
      <w:r>
        <w:t xml:space="preserve">The worker should strengthen collaboration with healthcare providers to ensure a more holistic approach to client care, particularly for clients with co-occurring mental health and physical health issues.</w:t>
      </w:r>
    </w:p>
    <w:bookmarkEnd w:id="29"/>
    <w:bookmarkStart w:id="30" w:name="conclusion-and-recommendations"/>
    <w:p>
      <w:pPr>
        <w:pStyle w:val="Heading2"/>
      </w:pPr>
      <w:r>
        <w:t xml:space="preserve">6. Conclusion and Recommendations</w:t>
      </w:r>
    </w:p>
    <w:p>
      <w:pPr>
        <w:pStyle w:val="FirstParagraph"/>
      </w:pPr>
      <w:r>
        <w:t xml:space="preserve">In conclusion, this Peer Review Report affirms that the Social Worker is performing at a high professional standard, meeting the rigorous demands of social work in Almaty, Kazakhstan. The worker's dedication to client welfare, cultural sensitivity, and ethical practice makes them a valuable asset to the social services sector.</w:t>
      </w:r>
    </w:p>
    <w:p>
      <w:pPr>
        <w:pStyle w:val="BodyText"/>
      </w:pPr>
      <w:r>
        <w:t xml:space="preserve">It is recommended that the Social Worker be granted a positive performance rating and encouraged to take on a mentorship role for junior social workers. Additionally, the worker should be supported in pursuing the recommended training opportunities to further enhance their professional capabilities.</w:t>
      </w:r>
    </w:p>
    <w:bookmarkEnd w:id="30"/>
    <w:p>
      <w:pPr>
        <w:pStyle w:val="BodyText"/>
      </w:pPr>
      <w:r>
        <w:rPr>
          <w:bCs/>
          <w:b/>
        </w:rPr>
        <w:t xml:space="preserve">Reviewed By:</w:t>
      </w:r>
    </w:p>
    <w:p>
      <w:pPr>
        <w:pStyle w:val="BodyText"/>
      </w:pPr>
      <w:r>
        <w:t xml:space="preserve">Senior Social Work Supervisor</w:t>
      </w:r>
    </w:p>
    <w:p>
      <w:pPr>
        <w:pStyle w:val="BodyText"/>
      </w:pPr>
      <w:r>
        <w:t xml:space="preserve">Almaty City Department of Social Protection</w:t>
      </w:r>
    </w:p>
    <w:p>
      <w:pPr>
        <w:pStyle w:val="BodyText"/>
      </w:pPr>
      <w:r>
        <w:rPr>
          <w:bCs/>
          <w:b/>
        </w:rPr>
        <w:t xml:space="preserve">Reviewed By:</w:t>
      </w:r>
    </w:p>
    <w:p>
      <w:pPr>
        <w:pStyle w:val="BodyText"/>
      </w:pPr>
      <w:r>
        <w:t xml:space="preserve">Peer Review Committee Chair</w:t>
      </w:r>
    </w:p>
    <w:p>
      <w:pPr>
        <w:pStyle w:val="BodyText"/>
      </w:pPr>
      <w:r>
        <w:t xml:space="preserve">Kazakhstan Association of Social Workers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Worker Performance Evaluation</dc:title>
  <dc:creator/>
  <dc:language>en</dc:language>
  <cp:keywords/>
  <dcterms:created xsi:type="dcterms:W3CDTF">2026-10-10T01:24:38Z</dcterms:created>
  <dcterms:modified xsi:type="dcterms:W3CDTF">2026-10-10T01:24:38Z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