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Social Worker</w:t>
      </w:r>
    </w:p>
    <w:p>
      <w:pPr>
        <w:pStyle w:val="BodyText"/>
      </w:pPr>
      <w:r>
        <w:t xml:space="preserve">Location:</w:t>
      </w:r>
      <w:r>
        <w:t xml:space="preserve"> </w:t>
      </w:r>
      <w:r>
        <w:t xml:space="preserve">Kuwait, Kuwait City</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ethical adherence, and clinical efficacy of a designated</w:t>
      </w:r>
      <w:r>
        <w:t xml:space="preserve"> </w:t>
      </w:r>
      <w:r>
        <w:rPr>
          <w:bCs/>
          <w:b/>
        </w:rPr>
        <w:t xml:space="preserve">Social Worker</w:t>
      </w:r>
      <w:r>
        <w:t xml:space="preserve"> </w:t>
      </w:r>
      <w:r>
        <w:t xml:space="preserve">operating within the jurisdiction of</w:t>
      </w:r>
      <w:r>
        <w:t xml:space="preserve"> </w:t>
      </w:r>
      <w:r>
        <w:rPr>
          <w:bCs/>
          <w:b/>
        </w:rPr>
        <w:t xml:space="preserve">Kuwait, Kuwait City</w:t>
      </w:r>
      <w:r>
        <w:t xml:space="preserve">. The purpose of this review is to ensure that the highest standards of social work practice are maintained, particularly within the unique socio-cultural and legal framework of the State of Kuwait.</w:t>
      </w:r>
    </w:p>
    <w:p>
      <w:pPr>
        <w:pStyle w:val="BodyText"/>
      </w:pPr>
      <w:r>
        <w:t xml:space="preserve">The review process involved a systematic analysis of case files, direct observation of client interactions, and feedback from multidisciplinary team members. The findings indicate a strong commitment to the core values of the profession, with specific attention paid to the nuances of working with diverse populations in Kuwait City, including expatriate communities, vulnerable families, and individuals requiring psychosocial support.</w:t>
      </w:r>
    </w:p>
    <w:bookmarkEnd w:id="21"/>
    <w:bookmarkStart w:id="22" w:name="X5c68981b45b51ff59440a4c0410d17ee1a19c89"/>
    <w:p>
      <w:pPr>
        <w:pStyle w:val="Heading2"/>
      </w:pPr>
      <w:r>
        <w:t xml:space="preserve">2. Contextual Framework: Social Work in Kuwait City</w:t>
      </w:r>
    </w:p>
    <w:p>
      <w:pPr>
        <w:pStyle w:val="FirstParagraph"/>
      </w:pPr>
      <w:r>
        <w:t xml:space="preserve">Practicing as a</w:t>
      </w:r>
      <w:r>
        <w:t xml:space="preserve"> </w:t>
      </w:r>
      <w:r>
        <w:rPr>
          <w:bCs/>
          <w:b/>
        </w:rPr>
        <w:t xml:space="preserve">Social Worker</w:t>
      </w:r>
      <w:r>
        <w:t xml:space="preserve"> </w:t>
      </w:r>
      <w:r>
        <w:t xml:space="preserve">in</w:t>
      </w:r>
      <w:r>
        <w:t xml:space="preserve"> </w:t>
      </w:r>
      <w:r>
        <w:rPr>
          <w:bCs/>
          <w:b/>
        </w:rPr>
        <w:t xml:space="preserve">Kuwait, Kuwait City</w:t>
      </w:r>
      <w:r>
        <w:t xml:space="preserve"> </w:t>
      </w:r>
      <w:r>
        <w:t xml:space="preserve">requires a sophisticated understanding of local regulations, cultural norms, and the specific mandates of the Ministry of Social Affairs and Labor. The social fabric of Kuwait City is characterized by a blend of traditional Kuwaiti values and a highly diverse expatriate population. Consequently, the</w:t>
      </w:r>
      <w:r>
        <w:t xml:space="preserve"> </w:t>
      </w:r>
      <w:r>
        <w:rPr>
          <w:bCs/>
          <w:b/>
        </w:rPr>
        <w:t xml:space="preserve">Social Worker</w:t>
      </w:r>
      <w:r>
        <w:t xml:space="preserve"> </w:t>
      </w:r>
      <w:r>
        <w:t xml:space="preserve">under review was assessed on their ability to navigate this complex environment.</w:t>
      </w:r>
    </w:p>
    <w:p>
      <w:pPr>
        <w:pStyle w:val="BodyText"/>
      </w:pPr>
      <w:r>
        <w:t xml:space="preserve">Key contextual factors considered in this</w:t>
      </w:r>
      <w:r>
        <w:t xml:space="preserve"> </w:t>
      </w:r>
      <w:r>
        <w:rPr>
          <w:bCs/>
          <w:b/>
        </w:rPr>
        <w:t xml:space="preserve">Peer Review Report</w:t>
      </w:r>
      <w:r>
        <w:t xml:space="preserve"> </w:t>
      </w:r>
      <w:r>
        <w:t xml:space="preserve">include:</w:t>
      </w:r>
    </w:p>
    <w:p>
      <w:pPr>
        <w:numPr>
          <w:ilvl w:val="0"/>
          <w:numId w:val="1001"/>
        </w:numPr>
        <w:pStyle w:val="Compact"/>
      </w:pPr>
      <w:r>
        <w:rPr>
          <w:bCs/>
          <w:b/>
        </w:rPr>
        <w:t xml:space="preserve">Cultural Competence:</w:t>
      </w:r>
      <w:r>
        <w:t xml:space="preserve"> </w:t>
      </w:r>
      <w:r>
        <w:t xml:space="preserve">The ability to respect Islamic traditions and local customs while providing unbiased support.</w:t>
      </w:r>
    </w:p>
    <w:p>
      <w:pPr>
        <w:numPr>
          <w:ilvl w:val="0"/>
          <w:numId w:val="1001"/>
        </w:numPr>
        <w:pStyle w:val="Compact"/>
      </w:pPr>
      <w:r>
        <w:rPr>
          <w:bCs/>
          <w:b/>
        </w:rPr>
        <w:t xml:space="preserve">Legal Compliance:</w:t>
      </w:r>
      <w:r>
        <w:t xml:space="preserve"> </w:t>
      </w:r>
      <w:r>
        <w:t xml:space="preserve">Adherence to Kuwaiti laws regarding child protection, family welfare, and labor rights.</w:t>
      </w:r>
    </w:p>
    <w:p>
      <w:pPr>
        <w:numPr>
          <w:ilvl w:val="0"/>
          <w:numId w:val="1001"/>
        </w:numPr>
        <w:pStyle w:val="Compact"/>
      </w:pPr>
      <w:r>
        <w:rPr>
          <w:bCs/>
          <w:b/>
        </w:rPr>
        <w:t xml:space="preserve">Resource Navigation:</w:t>
      </w:r>
      <w:r>
        <w:t xml:space="preserve"> </w:t>
      </w:r>
      <w:r>
        <w:t xml:space="preserve">Effectiveness in connecting clients with local government services and non-governmental organizations (NGOs) in Kuwait City.</w:t>
      </w:r>
    </w:p>
    <w:bookmarkEnd w:id="22"/>
    <w:bookmarkStart w:id="26" w:name="assessment-of-professional-competencies"/>
    <w:p>
      <w:pPr>
        <w:pStyle w:val="Heading2"/>
      </w:pPr>
      <w:r>
        <w:t xml:space="preserve">3. Assessment of Professional Competencies</w:t>
      </w:r>
    </w:p>
    <w:bookmarkStart w:id="23" w:name="case-management-and-documentation"/>
    <w:p>
      <w:pPr>
        <w:pStyle w:val="Heading3"/>
      </w:pPr>
      <w:r>
        <w:t xml:space="preserve">3.1 Case Management and Documentation</w:t>
      </w:r>
    </w:p>
    <w:p>
      <w:pPr>
        <w:pStyle w:val="FirstParagraph"/>
      </w:pPr>
      <w:r>
        <w:t xml:space="preserve">The</w:t>
      </w:r>
      <w:r>
        <w:t xml:space="preserve"> </w:t>
      </w:r>
      <w:r>
        <w:rPr>
          <w:bCs/>
          <w:b/>
        </w:rPr>
        <w:t xml:space="preserve">Social Worker</w:t>
      </w:r>
      <w:r>
        <w:t xml:space="preserve"> </w:t>
      </w:r>
      <w:r>
        <w:t xml:space="preserve">demonstrated exceptional proficiency in case management. Case files reviewed during this</w:t>
      </w:r>
      <w:r>
        <w:t xml:space="preserve"> </w:t>
      </w:r>
      <w:r>
        <w:rPr>
          <w:bCs/>
          <w:b/>
        </w:rPr>
        <w:t xml:space="preserve">Peer Review Report</w:t>
      </w:r>
      <w:r>
        <w:t xml:space="preserve"> </w:t>
      </w:r>
      <w:r>
        <w:t xml:space="preserve">process were meticulously organized, ensuring confidentiality and data integrity in accordance with Kuwaiti privacy standards. The documentation reflected a clear, logical progression of intervention strategies, from initial assessment to discharge planning.</w:t>
      </w:r>
    </w:p>
    <w:p>
      <w:pPr>
        <w:pStyle w:val="BodyText"/>
      </w:pPr>
      <w:r>
        <w:t xml:space="preserve">Specifically, the Social Worker showed a keen ability to identify risk factors early in the engagement process. In cases involving domestic instability within Kuwait City neighborhoods, the interventions were timely and aligned with the protocols established by local social services authorities.</w:t>
      </w:r>
    </w:p>
    <w:bookmarkEnd w:id="23"/>
    <w:bookmarkStart w:id="24" w:name="client-engagement-and-communication"/>
    <w:p>
      <w:pPr>
        <w:pStyle w:val="Heading3"/>
      </w:pPr>
      <w:r>
        <w:t xml:space="preserve">3.2 Client Engagement and Communication</w:t>
      </w:r>
    </w:p>
    <w:p>
      <w:pPr>
        <w:pStyle w:val="FirstParagraph"/>
      </w:pPr>
      <w:r>
        <w:t xml:space="preserve">Effective communication is paramount for a</w:t>
      </w:r>
      <w:r>
        <w:t xml:space="preserve"> </w:t>
      </w:r>
      <w:r>
        <w:rPr>
          <w:bCs/>
          <w:b/>
        </w:rPr>
        <w:t xml:space="preserve">Social Worker</w:t>
      </w:r>
      <w:r>
        <w:t xml:space="preserve"> </w:t>
      </w:r>
      <w:r>
        <w:t xml:space="preserve">in Kuwait City, where language barriers and cultural misunderstandings can impede progress. The subject of this review exhibited high levels of empathy and active listening skills. Observations revealed that the Social Worker successfully built rapport with clients from various backgrounds, ensuring that individuals felt heard and respected.</w:t>
      </w:r>
    </w:p>
    <w:p>
      <w:pPr>
        <w:pStyle w:val="BodyText"/>
      </w:pPr>
      <w:r>
        <w:t xml:space="preserve">The use of appropriate interpreters when necessary and the adaptation of communication styles to suit the cultural context of the client were noted as significant strengths. This adaptability is crucial for maintaining trust and ensuring the efficacy of social work interventions in the region.</w:t>
      </w:r>
    </w:p>
    <w:bookmarkEnd w:id="24"/>
    <w:bookmarkStart w:id="25" w:name="Xbd0325de72d76ec4da012ad8b5611a1d6334a27"/>
    <w:p>
      <w:pPr>
        <w:pStyle w:val="Heading3"/>
      </w:pPr>
      <w:r>
        <w:t xml:space="preserve">3.3 Ethical Practice and Professional Boundaries</w:t>
      </w:r>
    </w:p>
    <w:p>
      <w:pPr>
        <w:pStyle w:val="FirstParagraph"/>
      </w:pPr>
      <w:r>
        <w:t xml:space="preserve">Adherence to ethical guidelines was a central focus of this</w:t>
      </w:r>
      <w:r>
        <w:t xml:space="preserve"> </w:t>
      </w:r>
      <w:r>
        <w:rPr>
          <w:bCs/>
          <w:b/>
        </w:rPr>
        <w:t xml:space="preserve">Peer Review Report</w:t>
      </w:r>
      <w:r>
        <w:t xml:space="preserve">. The</w:t>
      </w:r>
      <w:r>
        <w:t xml:space="preserve"> </w:t>
      </w:r>
      <w:r>
        <w:rPr>
          <w:bCs/>
          <w:b/>
        </w:rPr>
        <w:t xml:space="preserve">Social Worker</w:t>
      </w:r>
      <w:r>
        <w:t xml:space="preserve"> </w:t>
      </w:r>
      <w:r>
        <w:t xml:space="preserve">consistently maintained professional boundaries, avoiding dual relationships that could compromise objectivity. In the close-knit community environment of Kuwait City, maintaining these boundaries is particularly challenging but essential.</w:t>
      </w:r>
    </w:p>
    <w:p>
      <w:pPr>
        <w:pStyle w:val="BodyText"/>
      </w:pPr>
      <w:r>
        <w:t xml:space="preserve">The Social Worker demonstrated a strong commitment to social justice, advocating for clients who faced systemic barriers. This advocacy was conducted within the legal frameworks of Kuwait, ensuring that the rights of vulnerable populations were protected without overstepping professional authority.</w:t>
      </w:r>
    </w:p>
    <w:bookmarkEnd w:id="25"/>
    <w:bookmarkEnd w:id="26"/>
    <w:bookmarkStart w:id="27" w:name="areas-for-development"/>
    <w:p>
      <w:pPr>
        <w:pStyle w:val="Heading2"/>
      </w:pPr>
      <w:r>
        <w:t xml:space="preserve">4. Areas for Development</w:t>
      </w:r>
    </w:p>
    <w:p>
      <w:pPr>
        <w:pStyle w:val="FirstParagraph"/>
      </w:pPr>
      <w:r>
        <w:t xml:space="preserve">While the overall performance of the</w:t>
      </w:r>
      <w:r>
        <w:t xml:space="preserve"> </w:t>
      </w:r>
      <w:r>
        <w:rPr>
          <w:bCs/>
          <w:b/>
        </w:rPr>
        <w:t xml:space="preserve">Social Worker</w:t>
      </w:r>
      <w:r>
        <w:t xml:space="preserve"> </w:t>
      </w:r>
      <w:r>
        <w:t xml:space="preserve">is commendable, this</w:t>
      </w:r>
      <w:r>
        <w:t xml:space="preserve"> </w:t>
      </w:r>
      <w:r>
        <w:rPr>
          <w:bCs/>
          <w:b/>
        </w:rPr>
        <w:t xml:space="preserve">Peer Review Report</w:t>
      </w:r>
      <w:r>
        <w:t xml:space="preserve"> </w:t>
      </w:r>
      <w:r>
        <w:t xml:space="preserve">identifies specific areas for continued professional growth:</w:t>
      </w:r>
    </w:p>
    <w:p>
      <w:pPr>
        <w:numPr>
          <w:ilvl w:val="0"/>
          <w:numId w:val="1002"/>
        </w:numPr>
        <w:pStyle w:val="Compact"/>
      </w:pPr>
      <w:r>
        <w:rPr>
          <w:bCs/>
          <w:b/>
        </w:rPr>
        <w:t xml:space="preserve">Advanced Crisis Intervention:</w:t>
      </w:r>
      <w:r>
        <w:t xml:space="preserve"> </w:t>
      </w:r>
      <w:r>
        <w:t xml:space="preserve">Further training in high-stakes crisis management specific to the regional context would enhance the Social Worker's ability to handle acute emergencies.</w:t>
      </w:r>
    </w:p>
    <w:p>
      <w:pPr>
        <w:numPr>
          <w:ilvl w:val="0"/>
          <w:numId w:val="1002"/>
        </w:numPr>
        <w:pStyle w:val="Compact"/>
      </w:pPr>
      <w:r>
        <w:rPr>
          <w:bCs/>
          <w:b/>
        </w:rPr>
        <w:t xml:space="preserve">Inter-Agency Collaboration:</w:t>
      </w:r>
      <w:r>
        <w:t xml:space="preserve"> </w:t>
      </w:r>
      <w:r>
        <w:t xml:space="preserve">Strengthening networks with other healthcare and legal professionals in Kuwait City could improve holistic care for complex cases.</w:t>
      </w:r>
    </w:p>
    <w:p>
      <w:pPr>
        <w:numPr>
          <w:ilvl w:val="0"/>
          <w:numId w:val="1002"/>
        </w:numPr>
        <w:pStyle w:val="Compact"/>
      </w:pPr>
      <w:r>
        <w:rPr>
          <w:bCs/>
          <w:b/>
        </w:rPr>
        <w:t xml:space="preserve">Research and Evidence-Based Practice:</w:t>
      </w:r>
      <w:r>
        <w:t xml:space="preserve"> </w:t>
      </w:r>
      <w:r>
        <w:t xml:space="preserve">Encouraging the integration of more localized research data into practice plans would further validate interventions.</w:t>
      </w:r>
    </w:p>
    <w:bookmarkEnd w:id="27"/>
    <w:bookmarkStart w:id="28" w:name="conclusion-and-recommendations"/>
    <w:p>
      <w:pPr>
        <w:pStyle w:val="Heading2"/>
      </w:pPr>
      <w:r>
        <w:t xml:space="preserve">5. Conclusion and Recommendations</w:t>
      </w:r>
    </w:p>
    <w:p>
      <w:pPr>
        <w:pStyle w:val="FirstParagraph"/>
      </w:pPr>
      <w:r>
        <w:t xml:space="preserve">Based on the comprehensive evaluation conducted for this</w:t>
      </w:r>
      <w:r>
        <w:t xml:space="preserve"> </w:t>
      </w:r>
      <w:r>
        <w:rPr>
          <w:bCs/>
          <w:b/>
        </w:rPr>
        <w:t xml:space="preserve">Peer Review Report</w:t>
      </w:r>
      <w:r>
        <w:t xml:space="preserve">, the</w:t>
      </w:r>
      <w:r>
        <w:t xml:space="preserve"> </w:t>
      </w:r>
      <w:r>
        <w:rPr>
          <w:bCs/>
          <w:b/>
        </w:rPr>
        <w:t xml:space="preserve">Social Worker</w:t>
      </w:r>
      <w:r>
        <w:t xml:space="preserve"> </w:t>
      </w:r>
      <w:r>
        <w:t xml:space="preserve">is deemed fully competent and effective in their role within</w:t>
      </w:r>
      <w:r>
        <w:t xml:space="preserve"> </w:t>
      </w:r>
      <w:r>
        <w:rPr>
          <w:bCs/>
          <w:b/>
        </w:rPr>
        <w:t xml:space="preserve">Kuwait, Kuwait City</w:t>
      </w:r>
      <w:r>
        <w:t xml:space="preserve">. Their dedication to ethical practice, cultural sensitivity, and client welfare aligns with the highest standards of the profession.</w:t>
      </w:r>
    </w:p>
    <w:p>
      <w:pPr>
        <w:pStyle w:val="BodyText"/>
      </w:pPr>
      <w:r>
        <w:t xml:space="preserve">It is recommended that the Social Worker continues their current trajectory while engaging in the suggested professional development activities. Regular peer reviews should be maintained to ensure ongoing quality assurance and to support the evolving needs of the community in Kuwait City.</w:t>
      </w:r>
    </w:p>
    <w:bookmarkEnd w:id="28"/>
    <w:p>
      <w:pPr>
        <w:pStyle w:val="BodyText"/>
      </w:pPr>
      <w:r>
        <w:t xml:space="preserve">Reviewer Name</w:t>
      </w:r>
      <w:r>
        <w:br/>
      </w:r>
      <w:r>
        <w:t xml:space="preserve">Senior Social Work Supervisor</w:t>
      </w:r>
      <w:r>
        <w:br/>
      </w:r>
      <w:r>
        <w:t xml:space="preserve">Kuwait City</w:t>
      </w:r>
    </w:p>
    <w:p>
      <w:pPr>
        <w:pStyle w:val="BodyText"/>
      </w:pPr>
      <w:r>
        <w:t xml:space="preserve">Date of Approval</w:t>
      </w:r>
      <w:r>
        <w:br/>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Kuwait City</dc:title>
  <dc:creator/>
  <dc:language>en</dc:language>
  <cp:keywords/>
  <dcterms:created xsi:type="dcterms:W3CDTF">2026-10-10T08:10:22Z</dcterms:created>
  <dcterms:modified xsi:type="dcterms:W3CDTF">2026-10-10T08:10:22Z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