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Social Worker</w:t>
      </w:r>
    </w:p>
    <w:p>
      <w:pPr>
        <w:pStyle w:val="BodyText"/>
      </w:pPr>
      <w:r>
        <w:rPr>
          <w:bCs/>
          <w:b/>
        </w:rPr>
        <w:t xml:space="preserve">Location:</w:t>
      </w:r>
      <w:r>
        <w:t xml:space="preserve"> </w:t>
      </w:r>
      <w:r>
        <w:t xml:space="preserve">Casablanca, Morocco</w:t>
      </w:r>
      <w:r>
        <w:t xml:space="preserve"> </w:t>
      </w:r>
      <w:r>
        <w:rPr>
          <w:bCs/>
          <w:b/>
        </w:rPr>
        <w:t xml:space="preserve">Date:</w:t>
      </w:r>
      <w:r>
        <w:t xml:space="preserve"> </w:t>
      </w:r>
      <w:r>
        <w:t xml:space="preserve">October 24, 2023</w:t>
      </w:r>
      <w:r>
        <w:t xml:space="preserve"> </w:t>
      </w: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assessment of the professional competencies, ethical adherence, and operational effectiveness of the designated</w:t>
      </w:r>
      <w:r>
        <w:t xml:space="preserve"> </w:t>
      </w:r>
      <w:r>
        <w:rPr>
          <w:bCs/>
          <w:b/>
        </w:rPr>
        <w:t xml:space="preserve">Social Worker</w:t>
      </w:r>
      <w:r>
        <w:t xml:space="preserve"> </w:t>
      </w:r>
      <w:r>
        <w:t xml:space="preserve">operating within the dynamic urban environment of</w:t>
      </w:r>
      <w:r>
        <w:t xml:space="preserve"> </w:t>
      </w:r>
      <w:r>
        <w:rPr>
          <w:bCs/>
          <w:b/>
        </w:rPr>
        <w:t xml:space="preserve">Morocco Casablanca</w:t>
      </w:r>
      <w:r>
        <w:t xml:space="preserve">. The purpose of this review is to ensure that social services are delivered with the highest standards of care, cultural sensitivity, and legal compliance, aligning with both national Moroccan regulations and international social work best practices.</w:t>
      </w:r>
    </w:p>
    <w:p>
      <w:pPr>
        <w:pStyle w:val="BodyText"/>
      </w:pPr>
      <w:r>
        <w:t xml:space="preserve">Casablanca presents a unique landscape for social work, characterized by rapid urbanization, diverse socioeconomic strata, and complex family structures. This report evaluates how effectively the Social Worker navigates these specific challenges while providing support to vulnerable populations, including at-risk youth, elderly individuals, and families in economic distress.</w:t>
      </w:r>
    </w:p>
    <w:bookmarkEnd w:id="21"/>
    <w:bookmarkStart w:id="22" w:name="X6e631addc657dce385cf9944a8065daef4e47ae"/>
    <w:p>
      <w:pPr>
        <w:pStyle w:val="Heading2"/>
      </w:pPr>
      <w:r>
        <w:t xml:space="preserve">2. Contextual Framework: The Casablanca Environment</w:t>
      </w:r>
    </w:p>
    <w:p>
      <w:pPr>
        <w:pStyle w:val="FirstParagraph"/>
      </w:pPr>
      <w:r>
        <w:t xml:space="preserve">To accurately assess the</w:t>
      </w:r>
      <w:r>
        <w:t xml:space="preserve"> </w:t>
      </w:r>
      <w:r>
        <w:rPr>
          <w:bCs/>
          <w:b/>
        </w:rPr>
        <w:t xml:space="preserve">Social Worker</w:t>
      </w:r>
      <w:r>
        <w:t xml:space="preserve">, it is imperative to contextualize their work within</w:t>
      </w:r>
      <w:r>
        <w:t xml:space="preserve"> </w:t>
      </w:r>
      <w:r>
        <w:rPr>
          <w:bCs/>
          <w:b/>
        </w:rPr>
        <w:t xml:space="preserve">Morocco Casablanca</w:t>
      </w:r>
      <w:r>
        <w:t xml:space="preserve">. As the economic hub of the country, Casablanca attracts significant migration from rural areas, leading to dense urban neighborhoods (often referred to as "bidonvilles" or informal settlements) where social needs are acute.</w:t>
      </w:r>
    </w:p>
    <w:p>
      <w:pPr>
        <w:pStyle w:val="BodyText"/>
      </w:pPr>
      <w:r>
        <w:t xml:space="preserve">The review considers the Social Worker's ability to:</w:t>
      </w:r>
    </w:p>
    <w:p>
      <w:pPr>
        <w:numPr>
          <w:ilvl w:val="0"/>
          <w:numId w:val="1001"/>
        </w:numPr>
        <w:pStyle w:val="Compact"/>
      </w:pPr>
      <w:r>
        <w:t xml:space="preserve">Engage with diverse cultural and linguistic groups, including Amazigh, Arab, and sub-Saharan African communities.</w:t>
      </w:r>
    </w:p>
    <w:p>
      <w:pPr>
        <w:numPr>
          <w:ilvl w:val="0"/>
          <w:numId w:val="1001"/>
        </w:numPr>
        <w:pStyle w:val="Compact"/>
      </w:pPr>
      <w:r>
        <w:t xml:space="preserve">Navigate the local administrative bureaucracy of the Casablanca-Settat region.</w:t>
      </w:r>
    </w:p>
    <w:p>
      <w:pPr>
        <w:numPr>
          <w:ilvl w:val="0"/>
          <w:numId w:val="1001"/>
        </w:numPr>
        <w:pStyle w:val="Compact"/>
      </w:pPr>
      <w:r>
        <w:t xml:space="preserve">Collaborate with local NGOs, municipal authorities, and religious institutions common in the area.</w:t>
      </w:r>
    </w:p>
    <w:bookmarkEnd w:id="22"/>
    <w:bookmarkStart w:id="23" w:name="competency-assessment"/>
    <w:p>
      <w:pPr>
        <w:pStyle w:val="Heading2"/>
      </w:pPr>
      <w:r>
        <w:t xml:space="preserve">3. Competency Assessment</w:t>
      </w:r>
    </w:p>
    <w:p>
      <w:pPr>
        <w:pStyle w:val="FirstParagraph"/>
      </w:pPr>
      <w:r>
        <w:t xml:space="preserve">Rating Scale: 1 (Needs Improvement) to 5 (Exemplary)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Rating</w:t>
            </w:r>
          </w:p>
        </w:tc>
        <w:tc>
          <w:tcPr/>
          <w:p>
            <w:pPr>
              <w:pStyle w:val="Compact"/>
              <w:jc w:val="left"/>
            </w:pPr>
            <w:r>
              <w:t xml:space="preserve">Observations &amp; Evidence</w:t>
            </w:r>
          </w:p>
        </w:tc>
      </w:tr>
      <w:tr>
        <w:tc>
          <w:tcPr/>
          <w:p>
            <w:pPr>
              <w:pStyle w:val="Compact"/>
              <w:jc w:val="left"/>
            </w:pPr>
            <w:r>
              <w:rPr>
                <w:bCs/>
                <w:b/>
              </w:rPr>
              <w:t xml:space="preserve">Cultural Competence &amp; Sensitivity</w:t>
            </w:r>
          </w:p>
        </w:tc>
        <w:tc>
          <w:tcPr/>
          <w:p>
            <w:pPr>
              <w:pStyle w:val="Compact"/>
              <w:jc w:val="left"/>
            </w:pPr>
            <w:r>
              <w:t xml:space="preserve">5</w:t>
            </w:r>
          </w:p>
        </w:tc>
        <w:tc>
          <w:tcPr/>
          <w:p>
            <w:pPr>
              <w:pStyle w:val="Compact"/>
              <w:jc w:val="left"/>
            </w:pPr>
            <w:r>
              <w:t xml:space="preserve">The Social Worker demonstrates exceptional understanding of Moroccan family dynamics and religious values. They successfully mediate conflicts in Casablanca households by respecting traditional hierarchies while advocating for individual rights.</w:t>
            </w:r>
          </w:p>
        </w:tc>
      </w:tr>
      <w:tr>
        <w:tc>
          <w:tcPr/>
          <w:p>
            <w:pPr>
              <w:pStyle w:val="Compact"/>
              <w:jc w:val="left"/>
            </w:pPr>
            <w:r>
              <w:rPr>
                <w:bCs/>
                <w:b/>
              </w:rPr>
              <w:t xml:space="preserve">Case Management &amp; Documentation</w:t>
            </w:r>
          </w:p>
        </w:tc>
        <w:tc>
          <w:tcPr/>
          <w:p>
            <w:pPr>
              <w:pStyle w:val="Compact"/>
              <w:jc w:val="left"/>
            </w:pPr>
            <w:r>
              <w:t xml:space="preserve">4</w:t>
            </w:r>
          </w:p>
        </w:tc>
        <w:tc>
          <w:tcPr/>
          <w:p>
            <w:pPr>
              <w:pStyle w:val="Compact"/>
              <w:jc w:val="left"/>
            </w:pPr>
            <w:r>
              <w:t xml:space="preserve">Case files are generally well-maintained. However, there is a need for stricter adherence to digital record-keeping protocols required by the national social protection system.</w:t>
            </w:r>
          </w:p>
        </w:tc>
      </w:tr>
      <w:tr>
        <w:tc>
          <w:tcPr/>
          <w:p>
            <w:pPr>
              <w:pStyle w:val="Compact"/>
              <w:jc w:val="left"/>
            </w:pPr>
            <w:r>
              <w:rPr>
                <w:bCs/>
                <w:b/>
              </w:rPr>
              <w:t xml:space="preserve">Community Resource Mobilization</w:t>
            </w:r>
          </w:p>
        </w:tc>
        <w:tc>
          <w:tcPr/>
          <w:p>
            <w:pPr>
              <w:pStyle w:val="Compact"/>
              <w:jc w:val="left"/>
            </w:pPr>
            <w:r>
              <w:t xml:space="preserve">5</w:t>
            </w:r>
          </w:p>
        </w:tc>
        <w:tc>
          <w:tcPr/>
          <w:p>
            <w:pPr>
              <w:pStyle w:val="Compact"/>
              <w:jc w:val="left"/>
            </w:pPr>
            <w:r>
              <w:t xml:space="preserve">Excellent network within Casablanca. The worker effectively connects clients with local food banks, legal aid clinics, and vocational training centers specific to the city's industrial sector.</w:t>
            </w:r>
          </w:p>
        </w:tc>
      </w:tr>
      <w:tr>
        <w:tc>
          <w:tcPr/>
          <w:p>
            <w:pPr>
              <w:pStyle w:val="Compact"/>
              <w:jc w:val="left"/>
            </w:pPr>
            <w:r>
              <w:rPr>
                <w:bCs/>
                <w:b/>
              </w:rPr>
              <w:t xml:space="preserve">Ethical Practice &amp; Confidentiality</w:t>
            </w:r>
          </w:p>
        </w:tc>
        <w:tc>
          <w:tcPr/>
          <w:p>
            <w:pPr>
              <w:pStyle w:val="Compact"/>
              <w:jc w:val="left"/>
            </w:pPr>
            <w:r>
              <w:t xml:space="preserve">5</w:t>
            </w:r>
          </w:p>
        </w:tc>
        <w:tc>
          <w:tcPr/>
          <w:p>
            <w:pPr>
              <w:pStyle w:val="Compact"/>
              <w:jc w:val="left"/>
            </w:pPr>
            <w:r>
              <w:t xml:space="preserve">Strict adherence to confidentiality is observed, which is crucial in close-knit Casablanca neighborhoods where privacy can be compromised by community gossip.</w:t>
            </w:r>
          </w:p>
        </w:tc>
      </w:tr>
    </w:tbl>
    <w:bookmarkEnd w:id="23"/>
    <w:bookmarkStart w:id="27" w:name="detailed-analysis-of-practice"/>
    <w:p>
      <w:pPr>
        <w:pStyle w:val="Heading2"/>
      </w:pPr>
      <w:r>
        <w:t xml:space="preserve">4. Detailed Analysis of Practice</w:t>
      </w:r>
    </w:p>
    <w:bookmarkStart w:id="24" w:name="client-engagement-and-empathy"/>
    <w:p>
      <w:pPr>
        <w:pStyle w:val="Heading3"/>
      </w:pPr>
      <w:r>
        <w:t xml:space="preserve">4.1. Client Engagement and Empathy</w:t>
      </w:r>
    </w:p>
    <w:p>
      <w:pPr>
        <w:pStyle w:val="FirstParagraph"/>
      </w:pPr>
      <w:r>
        <w:t xml:space="preserve">The</w:t>
      </w:r>
      <w:r>
        <w:t xml:space="preserve"> </w:t>
      </w:r>
      <w:r>
        <w:rPr>
          <w:bCs/>
          <w:b/>
        </w:rPr>
        <w:t xml:space="preserve">Social Worker</w:t>
      </w:r>
      <w:r>
        <w:t xml:space="preserve"> </w:t>
      </w:r>
      <w:r>
        <w:t xml:space="preserve">exhibits a high degree of empathy, a critical trait when dealing with the trauma often found in underserved areas of</w:t>
      </w:r>
      <w:r>
        <w:t xml:space="preserve"> </w:t>
      </w:r>
      <w:r>
        <w:rPr>
          <w:bCs/>
          <w:b/>
        </w:rPr>
        <w:t xml:space="preserve">Morocco Casablanca</w:t>
      </w:r>
      <w:r>
        <w:t xml:space="preserve">. Peer observations indicate that the worker builds trust rapidly with clients who may be skeptical of institutional help. The use of Darija (Moroccan Arabic) alongside formal French and English facilitates deeper communication with clients across different educational backgrounds.</w:t>
      </w:r>
    </w:p>
    <w:bookmarkEnd w:id="24"/>
    <w:bookmarkStart w:id="25" w:name="crisis-intervention"/>
    <w:p>
      <w:pPr>
        <w:pStyle w:val="Heading3"/>
      </w:pPr>
      <w:r>
        <w:t xml:space="preserve">4.2. Crisis Intervention</w:t>
      </w:r>
    </w:p>
    <w:p>
      <w:pPr>
        <w:pStyle w:val="FirstParagraph"/>
      </w:pPr>
      <w:r>
        <w:t xml:space="preserve">In instances of domestic violence or sudden homelessness, the Social Worker has demonstrated swift and decisive action. The review highlights a specific case where the worker coordinated with local police and shelters in Casablanca to secure safety for a vulnerable family within 24 hours. This responsiveness is vital in a city with high population density and limited immediate housing resources.</w:t>
      </w:r>
    </w:p>
    <w:bookmarkEnd w:id="25"/>
    <w:bookmarkStart w:id="26" w:name="advocacy-and-systemic-navigation"/>
    <w:p>
      <w:pPr>
        <w:pStyle w:val="Heading3"/>
      </w:pPr>
      <w:r>
        <w:t xml:space="preserve">4.3. Advocacy and Systemic Navigation</w:t>
      </w:r>
    </w:p>
    <w:p>
      <w:pPr>
        <w:pStyle w:val="FirstParagraph"/>
      </w:pPr>
      <w:r>
        <w:t xml:space="preserve">A key role of the Social Worker in this region is acting as a bridge between the marginalized and the state. This</w:t>
      </w:r>
      <w:r>
        <w:t xml:space="preserve"> </w:t>
      </w:r>
      <w:r>
        <w:rPr>
          <w:bCs/>
          <w:b/>
        </w:rPr>
        <w:t xml:space="preserve">Peer Review Report</w:t>
      </w:r>
      <w:r>
        <w:t xml:space="preserve"> </w:t>
      </w:r>
      <w:r>
        <w:t xml:space="preserve">notes that the worker is highly effective in helping clients navigate the complexities of obtaining national identity documents, social security benefits, and healthcare access. This advocacy is essential for integrating marginalized populations into the formal structures of Moroccan society.</w:t>
      </w:r>
    </w:p>
    <w:bookmarkEnd w:id="26"/>
    <w:bookmarkEnd w:id="27"/>
    <w:bookmarkStart w:id="28" w:name="areas-for-development"/>
    <w:p>
      <w:pPr>
        <w:pStyle w:val="Heading2"/>
      </w:pPr>
      <w:r>
        <w:t xml:space="preserve">5. Areas for Development</w:t>
      </w:r>
    </w:p>
    <w:p>
      <w:pPr>
        <w:pStyle w:val="FirstParagraph"/>
      </w:pPr>
      <w:r>
        <w:t xml:space="preserve">While the performance is largely exemplary, this</w:t>
      </w:r>
      <w:r>
        <w:t xml:space="preserve"> </w:t>
      </w:r>
      <w:r>
        <w:rPr>
          <w:bCs/>
          <w:b/>
        </w:rPr>
        <w:t xml:space="preserve">Peer Review Report</w:t>
      </w:r>
      <w:r>
        <w:t xml:space="preserve"> </w:t>
      </w:r>
      <w:r>
        <w:t xml:space="preserve">identifies specific areas for growth to enhance the Social Worker's impact in</w:t>
      </w:r>
      <w:r>
        <w:t xml:space="preserve"> </w:t>
      </w:r>
      <w:r>
        <w:rPr>
          <w:bCs/>
          <w:b/>
        </w:rPr>
        <w:t xml:space="preserve">Morocco Casablanca</w:t>
      </w:r>
      <w:r>
        <w:t xml:space="preserve">:</w:t>
      </w:r>
    </w:p>
    <w:p>
      <w:pPr>
        <w:numPr>
          <w:ilvl w:val="0"/>
          <w:numId w:val="1002"/>
        </w:numPr>
        <w:pStyle w:val="Compact"/>
      </w:pPr>
      <w:r>
        <w:rPr>
          <w:bCs/>
          <w:b/>
        </w:rPr>
        <w:t xml:space="preserve">Digital Literacy:</w:t>
      </w:r>
      <w:r>
        <w:t xml:space="preserve"> </w:t>
      </w:r>
      <w:r>
        <w:t xml:space="preserve">Enhanced training on new government digital platforms for social aid distribution is recommended to improve efficiency.</w:t>
      </w:r>
    </w:p>
    <w:p>
      <w:pPr>
        <w:numPr>
          <w:ilvl w:val="0"/>
          <w:numId w:val="1002"/>
        </w:numPr>
        <w:pStyle w:val="Compact"/>
      </w:pPr>
      <w:r>
        <w:rPr>
          <w:bCs/>
          <w:b/>
        </w:rPr>
        <w:t xml:space="preserve">Inter-agency Collaboration:</w:t>
      </w:r>
      <w:r>
        <w:t xml:space="preserve"> </w:t>
      </w:r>
      <w:r>
        <w:t xml:space="preserve">While local networks are strong, formalizing partnerships with international NGOs operating in Casablanca could expand resource availability.</w:t>
      </w:r>
    </w:p>
    <w:p>
      <w:pPr>
        <w:numPr>
          <w:ilvl w:val="0"/>
          <w:numId w:val="1002"/>
        </w:numPr>
        <w:pStyle w:val="Compact"/>
      </w:pPr>
      <w:r>
        <w:rPr>
          <w:bCs/>
          <w:b/>
        </w:rPr>
        <w:t xml:space="preserve">Self-Care and Burnout Prevention:</w:t>
      </w:r>
      <w:r>
        <w:t xml:space="preserve"> </w:t>
      </w:r>
      <w:r>
        <w:t xml:space="preserve">Given the high emotional toll of working in high-stress urban environments, the Social Worker is encouraged to utilize peer support groups more regularly.</w:t>
      </w:r>
    </w:p>
    <w:bookmarkEnd w:id="28"/>
    <w:bookmarkStart w:id="29" w:name="conclusion-and-recommendations"/>
    <w:p>
      <w:pPr>
        <w:pStyle w:val="Heading2"/>
      </w:pPr>
      <w:r>
        <w:t xml:space="preserve">6. Conclusion and Recommendations</w:t>
      </w:r>
    </w:p>
    <w:p>
      <w:pPr>
        <w:pStyle w:val="FirstParagraph"/>
      </w:pPr>
      <w:r>
        <w:rPr>
          <w:bCs/>
          <w:b/>
        </w:rPr>
        <w:t xml:space="preserve">Overall Assessment:</w:t>
      </w:r>
      <w:r>
        <w:t xml:space="preserve"> </w:t>
      </w:r>
      <w:r>
        <w:t xml:space="preserve">The</w:t>
      </w:r>
      <w:r>
        <w:t xml:space="preserve"> </w:t>
      </w:r>
      <w:r>
        <w:rPr>
          <w:bCs/>
          <w:b/>
        </w:rPr>
        <w:t xml:space="preserve">Social Worker</w:t>
      </w:r>
      <w:r>
        <w:t xml:space="preserve"> </w:t>
      </w:r>
      <w:r>
        <w:t xml:space="preserve">under review is a valuable asset to the social services sector in</w:t>
      </w:r>
      <w:r>
        <w:t xml:space="preserve"> </w:t>
      </w:r>
      <w:r>
        <w:rPr>
          <w:bCs/>
          <w:b/>
        </w:rPr>
        <w:t xml:space="preserve">Morocco Casablanca</w:t>
      </w:r>
      <w:r>
        <w:t xml:space="preserve">. Their ability to combine professional social work standards with deep cultural intelligence makes them highly effective in serving the city's diverse population.</w:t>
      </w:r>
    </w:p>
    <w:p>
      <w:pPr>
        <w:pStyle w:val="BodyText"/>
      </w:pPr>
      <w:r>
        <w:t xml:space="preserve">It is recommended that the Social Worker continues their current trajectory while focusing on the identified areas for development. Continued mentorship and participation in regional social work conferences in Morocco are encouraged to keep pace with evolving social policies.</w:t>
      </w:r>
    </w:p>
    <w:bookmarkEnd w:id="29"/>
    <w:bookmarkStart w:id="30" w:name="signatures"/>
    <w:p>
      <w:pPr>
        <w:pStyle w:val="Heading2"/>
      </w:pPr>
      <w:r>
        <w:t xml:space="preserve">7. Signatures</w:t>
      </w:r>
    </w:p>
    <w:p>
      <w:pPr>
        <w:pStyle w:val="FirstParagraph"/>
      </w:pPr>
      <w:r>
        <w:rPr>
          <w:bCs/>
          <w:b/>
        </w:rPr>
        <w:t xml:space="preserve">Reviewer Name:</w:t>
      </w:r>
      <w:r>
        <w:br/>
      </w:r>
      <w:r>
        <w:t xml:space="preserve">Senior Social Work Supervisor</w:t>
      </w:r>
      <w:r>
        <w:br/>
      </w:r>
      <w:r>
        <w:t xml:space="preserve">Casablanca Regional Office</w:t>
      </w:r>
    </w:p>
    <w:p>
      <w:pPr>
        <w:pStyle w:val="BodyText"/>
      </w:pPr>
      <w:r>
        <w:rPr>
          <w:bCs/>
          <w:b/>
        </w:rPr>
        <w:t xml:space="preserve">Social Worker Name:</w:t>
      </w:r>
      <w:r>
        <w:br/>
      </w:r>
      <w:r>
        <w:t xml:space="preserve">Acknowledged and Received</w:t>
      </w:r>
      <w:r>
        <w:br/>
      </w:r>
      <w:r>
        <w:t xml:space="preserve">Date: 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Assessment</dc:title>
  <dc:creator/>
  <dc:language>en</dc:language>
  <cp:keywords/>
  <dcterms:created xsi:type="dcterms:W3CDTF">2026-10-10T01:24:21Z</dcterms:created>
  <dcterms:modified xsi:type="dcterms:W3CDTF">2026-10-10T01:24:21Z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