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Social Worker</w:t>
      </w:r>
    </w:p>
    <w:p>
      <w:pPr>
        <w:pStyle w:val="BodyText"/>
      </w:pPr>
      <w:r>
        <w:rPr>
          <w:bCs/>
          <w:b/>
        </w:rPr>
        <w:t xml:space="preserve">Location:</w:t>
      </w:r>
      <w:r>
        <w:t xml:space="preserve"> </w:t>
      </w:r>
      <w:r>
        <w:t xml:space="preserve">New Zealand Auckland</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practice, clinical competence, and ethical adherence of the designated Social Worker operating within the Auckland region of New Zealand. The purpose of this review is to ensure alignment with the standards set by the Social Workers Registration Board (SWRB) and to uphold the high-quality care expected in the diverse socio-cultural landscape of Auckland.</w:t>
      </w:r>
    </w:p>
    <w:p>
      <w:pPr>
        <w:pStyle w:val="BodyText"/>
      </w:pPr>
      <w:r>
        <w:t xml:space="preserve">As a major urban center in New Zealand, Auckland presents unique challenges and opportunities for social work practice. This report assesses how effectively the Social Worker navigates these complexities, particularly regarding Māori and Pasifika communities, while maintaining professional integrity and client-centered outcomes.</w:t>
      </w:r>
    </w:p>
    <w:bookmarkEnd w:id="21"/>
    <w:bookmarkStart w:id="22" w:name="X21243533f1c332d2508f3f154959ef048686a6f"/>
    <w:p>
      <w:pPr>
        <w:pStyle w:val="Heading2"/>
      </w:pPr>
      <w:r>
        <w:t xml:space="preserve">2. Context of Practice in New Zealand Auckland</w:t>
      </w:r>
    </w:p>
    <w:p>
      <w:pPr>
        <w:pStyle w:val="FirstParagraph"/>
      </w:pPr>
      <w:r>
        <w:t xml:space="preserve">The practice environment in New Zealand Auckland is characterized by significant cultural diversity, socioeconomic disparities, and a strong emphasis on Te Tiriti o Waitangi (The Treaty of Waitangi). A competent Social Worker in this region must demonstrate not only clinical skill but also cultural safety and responsiveness.</w:t>
      </w:r>
    </w:p>
    <w:p>
      <w:pPr>
        <w:pStyle w:val="BodyText"/>
      </w:pPr>
      <w:r>
        <w:t xml:space="preserve">This review examines the Social Worker’s ability to integrate Te Ao Māori (the Māori world view) into their practice. This includes understanding concepts such as whānau (family), mana (authority/prestige), and tikanga (customs). Furthermore, the review considers the Social Worker’s engagement with local iwi (tribes) and community organizations in Auckland, which is critical for effective intervention and support.</w:t>
      </w:r>
    </w:p>
    <w:bookmarkEnd w:id="22"/>
    <w:bookmarkStart w:id="26" w:name="assessment-of-professional-competence"/>
    <w:p>
      <w:pPr>
        <w:pStyle w:val="Heading2"/>
      </w:pPr>
      <w:r>
        <w:t xml:space="preserve">3. Assessment of Professional Competence</w:t>
      </w:r>
    </w:p>
    <w:bookmarkStart w:id="23" w:name="clinical-skills-and-case-management"/>
    <w:p>
      <w:pPr>
        <w:pStyle w:val="Heading3"/>
      </w:pPr>
      <w:r>
        <w:t xml:space="preserve">3.1 Clinical Skills and Case Management</w:t>
      </w:r>
    </w:p>
    <w:p>
      <w:pPr>
        <w:pStyle w:val="FirstParagraph"/>
      </w:pPr>
      <w:r>
        <w:t xml:space="preserve">The Social Worker has demonstrated a high level of proficiency in case management. Case files reviewed indicate thorough assessment processes, clear goal setting, and regular monitoring of client progress. The Social Worker effectively utilizes evidence-based practices tailored to the specific needs of clients in Auckland, ranging from child welfare to mental health support.</w:t>
      </w:r>
    </w:p>
    <w:p>
      <w:pPr>
        <w:pStyle w:val="BodyText"/>
      </w:pPr>
      <w:r>
        <w:t xml:space="preserve">Documentation is consistent, accurate, and compliant with the Privacy Act 2020. The Social Worker shows strong analytical skills in risk assessment, particularly in high-stakes situations involving family violence or youth at risk, which are prevalent issues in certain Auckland communities.</w:t>
      </w:r>
    </w:p>
    <w:bookmarkEnd w:id="23"/>
    <w:bookmarkStart w:id="24" w:name="cultural-competence-and-safety"/>
    <w:p>
      <w:pPr>
        <w:pStyle w:val="Heading3"/>
      </w:pPr>
      <w:r>
        <w:t xml:space="preserve">3.2 Cultural Competence and Safety</w:t>
      </w:r>
    </w:p>
    <w:p>
      <w:pPr>
        <w:pStyle w:val="FirstParagraph"/>
      </w:pPr>
      <w:r>
        <w:t xml:space="preserve">A critical component of this Peer Review Report is the evaluation of cultural competence. The Social Worker has shown commendable efforts in engaging with Māori and Pasifika clients. There is evidence of consultation with whānau and community leaders, reflecting a commitment to culturally appropriate interventions.</w:t>
      </w:r>
    </w:p>
    <w:p>
      <w:pPr>
        <w:pStyle w:val="BodyText"/>
      </w:pPr>
      <w:r>
        <w:t xml:space="preserve">However, there is room for growth in deepening knowledge of specific iwi protocols within the Auckland region. Enhancing this understanding will further strengthen trust and collaboration with indigenous communities, ensuring that services are not only accessible but also culturally resonant.</w:t>
      </w:r>
    </w:p>
    <w:bookmarkEnd w:id="24"/>
    <w:bookmarkStart w:id="25" w:name="ethical-practice"/>
    <w:p>
      <w:pPr>
        <w:pStyle w:val="Heading3"/>
      </w:pPr>
      <w:r>
        <w:t xml:space="preserve">3.3 Ethical Practice</w:t>
      </w:r>
    </w:p>
    <w:p>
      <w:pPr>
        <w:pStyle w:val="FirstParagraph"/>
      </w:pPr>
      <w:r>
        <w:t xml:space="preserve">The Social Worker adheres strictly to the Code of Ethics and Standards of Practice established by the SWRB. Issues of confidentiality, informed consent, and professional boundaries are handled with care and professionalism. The Social Worker demonstrates integrity in decision-making, prioritizing the best interests of the client while navigating complex systemic constraints.</w:t>
      </w:r>
    </w:p>
    <w:bookmarkEnd w:id="25"/>
    <w:bookmarkEnd w:id="26"/>
    <w:bookmarkStart w:id="27" w:name="strengths-identified"/>
    <w:p>
      <w:pPr>
        <w:pStyle w:val="Heading2"/>
      </w:pPr>
      <w:r>
        <w:t xml:space="preserve">4. Strengths Identified</w:t>
      </w:r>
    </w:p>
    <w:p>
      <w:pPr>
        <w:numPr>
          <w:ilvl w:val="0"/>
          <w:numId w:val="1001"/>
        </w:numPr>
        <w:pStyle w:val="Compact"/>
      </w:pPr>
      <w:r>
        <w:rPr>
          <w:bCs/>
          <w:b/>
        </w:rPr>
        <w:t xml:space="preserve">Strong Relationship Building:</w:t>
      </w:r>
      <w:r>
        <w:t xml:space="preserve"> </w:t>
      </w:r>
      <w:r>
        <w:t xml:space="preserve">The Social Worker excels in building rapport with clients, fostering an environment of trust and openness.</w:t>
      </w:r>
    </w:p>
    <w:p>
      <w:pPr>
        <w:numPr>
          <w:ilvl w:val="0"/>
          <w:numId w:val="1001"/>
        </w:numPr>
        <w:pStyle w:val="Compact"/>
      </w:pPr>
      <w:r>
        <w:rPr>
          <w:bCs/>
          <w:b/>
        </w:rPr>
        <w:t xml:space="preserve">Collaborative Approach:</w:t>
      </w:r>
      <w:r>
        <w:t xml:space="preserve"> </w:t>
      </w:r>
      <w:r>
        <w:t xml:space="preserve">Effective collaboration with multidisciplinary teams, including health professionals, educators, and legal authorities in Auckland.</w:t>
      </w:r>
    </w:p>
    <w:p>
      <w:pPr>
        <w:numPr>
          <w:ilvl w:val="0"/>
          <w:numId w:val="1001"/>
        </w:numPr>
        <w:pStyle w:val="Compact"/>
      </w:pPr>
      <w:r>
        <w:rPr>
          <w:bCs/>
          <w:b/>
        </w:rPr>
        <w:t xml:space="preserve">Advocacy:</w:t>
      </w:r>
      <w:r>
        <w:t xml:space="preserve"> </w:t>
      </w:r>
      <w:r>
        <w:t xml:space="preserve">Proactive advocacy for clients’ rights and needs, particularly in accessing housing and mental health services.</w:t>
      </w:r>
    </w:p>
    <w:p>
      <w:pPr>
        <w:numPr>
          <w:ilvl w:val="0"/>
          <w:numId w:val="1001"/>
        </w:numPr>
        <w:pStyle w:val="Compact"/>
      </w:pPr>
      <w:r>
        <w:rPr>
          <w:bCs/>
          <w:b/>
        </w:rPr>
        <w:t xml:space="preserve">Reflective Practice:</w:t>
      </w:r>
      <w:r>
        <w:t xml:space="preserve"> </w:t>
      </w:r>
      <w:r>
        <w:t xml:space="preserve">Willingness to engage in self-reflection and seek feedback, indicating a commitment to continuous professional development.</w:t>
      </w:r>
    </w:p>
    <w:bookmarkEnd w:id="27"/>
    <w:bookmarkStart w:id="28" w:name="areas-for-development"/>
    <w:p>
      <w:pPr>
        <w:pStyle w:val="Heading2"/>
      </w:pPr>
      <w:r>
        <w:t xml:space="preserve">5. Areas for Development</w:t>
      </w:r>
    </w:p>
    <w:p>
      <w:pPr>
        <w:numPr>
          <w:ilvl w:val="0"/>
          <w:numId w:val="1002"/>
        </w:numPr>
        <w:pStyle w:val="Compact"/>
      </w:pPr>
      <w:r>
        <w:rPr>
          <w:bCs/>
          <w:b/>
        </w:rPr>
        <w:t xml:space="preserve">Deepening Cultural Knowledge:</w:t>
      </w:r>
      <w:r>
        <w:t xml:space="preserve"> </w:t>
      </w:r>
      <w:r>
        <w:t xml:space="preserve">Further training in Te Reo Māori and specific iwi histories in Auckland would enhance cultural safety.</w:t>
      </w:r>
    </w:p>
    <w:p>
      <w:pPr>
        <w:numPr>
          <w:ilvl w:val="0"/>
          <w:numId w:val="1002"/>
        </w:numPr>
        <w:pStyle w:val="Compact"/>
      </w:pPr>
      <w:r>
        <w:rPr>
          <w:bCs/>
          <w:b/>
        </w:rPr>
        <w:t xml:space="preserve">Time Management:</w:t>
      </w:r>
      <w:r>
        <w:t xml:space="preserve"> </w:t>
      </w:r>
      <w:r>
        <w:t xml:space="preserve">Given the high demand for social services in Auckland, improving time management strategies could help maintain a sustainable caseload.</w:t>
      </w:r>
    </w:p>
    <w:p>
      <w:pPr>
        <w:numPr>
          <w:ilvl w:val="0"/>
          <w:numId w:val="1002"/>
        </w:numPr>
        <w:pStyle w:val="Compact"/>
      </w:pPr>
      <w:r>
        <w:rPr>
          <w:bCs/>
          <w:b/>
        </w:rPr>
        <w:t xml:space="preserve">Use of Technology:</w:t>
      </w:r>
      <w:r>
        <w:t xml:space="preserve"> </w:t>
      </w:r>
      <w:r>
        <w:t xml:space="preserve">Greater utilization of digital tools for case management and client engagement could improve efficiency and accessibility.</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for the Social Worker:</w:t>
      </w:r>
    </w:p>
    <w:p>
      <w:pPr>
        <w:numPr>
          <w:ilvl w:val="0"/>
          <w:numId w:val="1003"/>
        </w:numPr>
        <w:pStyle w:val="Compact"/>
      </w:pPr>
      <w:r>
        <w:t xml:space="preserve">Enroll in advanced cultural competency workshops focused on Māori and Pasifika perspectives in social work.</w:t>
      </w:r>
    </w:p>
    <w:p>
      <w:pPr>
        <w:numPr>
          <w:ilvl w:val="0"/>
          <w:numId w:val="1003"/>
        </w:numPr>
        <w:pStyle w:val="Compact"/>
      </w:pPr>
      <w:r>
        <w:t xml:space="preserve">Seek mentorship from senior practitioners with extensive experience in Auckland’s indigenous communities.</w:t>
      </w:r>
    </w:p>
    <w:p>
      <w:pPr>
        <w:numPr>
          <w:ilvl w:val="0"/>
          <w:numId w:val="1003"/>
        </w:numPr>
        <w:pStyle w:val="Compact"/>
      </w:pPr>
      <w:r>
        <w:t xml:space="preserve">Implement structured time management techniques to balance caseload demands and prevent burnout.</w:t>
      </w:r>
    </w:p>
    <w:p>
      <w:pPr>
        <w:numPr>
          <w:ilvl w:val="0"/>
          <w:numId w:val="1003"/>
        </w:numPr>
        <w:pStyle w:val="Compact"/>
      </w:pPr>
      <w:r>
        <w:t xml:space="preserve">Engage in regular peer supervision to discuss complex cases and ethical dilemmas.</w:t>
      </w:r>
    </w:p>
    <w:bookmarkEnd w:id="29"/>
    <w:bookmarkStart w:id="30" w:name="conclusion"/>
    <w:p>
      <w:pPr>
        <w:pStyle w:val="Heading2"/>
      </w:pPr>
      <w:r>
        <w:t xml:space="preserve">7. Conclusion</w:t>
      </w:r>
    </w:p>
    <w:p>
      <w:pPr>
        <w:pStyle w:val="FirstParagraph"/>
      </w:pPr>
      <w:r>
        <w:t xml:space="preserve">This Peer Review Report concludes that the Social Worker is performing at a competent and professional level within the New Zealand Auckland context. The Social Worker demonstrates strong clinical skills, ethical integrity, and a genuine commitment to serving diverse communities. By addressing the identified areas for development, particularly in cultural competence and efficiency, the Social Worker will continue to provide high-quality, impactful services to those in need.</w:t>
      </w:r>
    </w:p>
    <w:p>
      <w:pPr>
        <w:pStyle w:val="BodyText"/>
      </w:pPr>
      <w:r>
        <w:t xml:space="preserve">This review affirms the Social Worker’s suitability for continued practice and highlights their potential for further growth and leadership in the field of social work in Auckland.</w:t>
      </w:r>
    </w:p>
    <w:bookmarkEnd w:id="30"/>
    <w:p>
      <w:pPr>
        <w:pStyle w:val="BodyText"/>
      </w:pPr>
      <w:r>
        <w:rPr>
          <w:bCs/>
          <w:b/>
        </w:rPr>
        <w:t xml:space="preserve">Prepared by:</w:t>
      </w:r>
    </w:p>
    <w:p>
      <w:pPr>
        <w:pStyle w:val="BodyText"/>
      </w:pPr>
      <w:r>
        <w:t xml:space="preserve">__________________________</w:t>
      </w:r>
    </w:p>
    <w:p>
      <w:pPr>
        <w:pStyle w:val="BodyText"/>
      </w:pPr>
      <w:r>
        <w:t xml:space="preserve">Senior Peer Reviewer</w:t>
      </w:r>
    </w:p>
    <w:p>
      <w:pPr>
        <w:pStyle w:val="BodyText"/>
      </w:pPr>
      <w:r>
        <w:t xml:space="preserve">Registered Social Worker</w:t>
      </w:r>
    </w:p>
    <w:p>
      <w:pPr>
        <w:pStyle w:val="BodyText"/>
      </w:pPr>
      <w:r>
        <w:t xml:space="preserve">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New Zealand Auckland</dc:title>
  <dc:creator/>
  <dc:language>en</dc:language>
  <cp:keywords/>
  <dcterms:created xsi:type="dcterms:W3CDTF">2026-10-10T05:52:47Z</dcterms:created>
  <dcterms:modified xsi:type="dcterms:W3CDTF">2026-10-10T05:52:47Z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