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Social Worker</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practice, ethical adherence, and clinical competence of the designated Social Worker operating within the Wellington region of New Zealand. The purpose of this review is to ensure that the practitioner maintains the highest standards of care expected by the Social Workers Registration Board (SWRB) and aligns with the specific cultural and legislative requirements of Aotearoa New Zealand.</w:t>
      </w:r>
    </w:p>
    <w:p>
      <w:pPr>
        <w:pStyle w:val="BodyText"/>
      </w:pPr>
      <w:r>
        <w:t xml:space="preserve">The review focuses on the Social Worker’s engagement with diverse communities in Wellington, including Māori, Pasifika, and migrant populations. It assesses the integration of Te Tiriti o Waitangi principles into daily practice and the effectiveness of interventions within the local Wellington social services landscape.</w:t>
      </w:r>
    </w:p>
    <w:bookmarkEnd w:id="21"/>
    <w:bookmarkStart w:id="22" w:name="X6d6bd2e6e607c50303461453c5b547c551c8fe9"/>
    <w:p>
      <w:pPr>
        <w:pStyle w:val="Heading2"/>
      </w:pPr>
      <w:r>
        <w:t xml:space="preserve">2. Context of Practice in New Zealand Wellington</w:t>
      </w:r>
    </w:p>
    <w:p>
      <w:pPr>
        <w:pStyle w:val="FirstParagraph"/>
      </w:pPr>
      <w:r>
        <w:t xml:space="preserve">The practice environment in Wellington presents unique challenges and opportunities. As the capital city, the region hosts a complex mix of urban poverty, high housing demand, and a vibrant multicultural community. The Social Worker under review operates within this dynamic context, often navigating the intersection of government policy and grassroots community needs.</w:t>
      </w:r>
    </w:p>
    <w:p>
      <w:pPr>
        <w:pStyle w:val="BodyText"/>
      </w:pPr>
      <w:r>
        <w:t xml:space="preserve">A critical aspect of this review is the Social Worker’s ability to practice within the framework of Te Tiriti o Waitangi. In Wellington, where there is a significant Māori population, the practitioner is expected to demonstrate cultural safety and competence. This includes understanding whānau-centric approaches and recognizing the historical and contemporary impacts of colonization on the communities they serve. The review examines whether the Social Worker actively collaborates with local iwi and hapū structures to support clients effectively.</w:t>
      </w:r>
    </w:p>
    <w:bookmarkEnd w:id="22"/>
    <w:bookmarkStart w:id="23" w:name="assessment-of-professional-competence"/>
    <w:p>
      <w:pPr>
        <w:pStyle w:val="Heading2"/>
      </w:pPr>
      <w:r>
        <w:t xml:space="preserve">3. Assessment of Professional Competence</w:t>
      </w:r>
    </w:p>
    <w:p>
      <w:pPr>
        <w:pStyle w:val="FirstParagraph"/>
      </w:pPr>
      <w:r>
        <w:rPr>
          <w:bCs/>
          <w:b/>
        </w:rPr>
        <w:t xml:space="preserve">3.1 Ethical Practice and Code of Conduct</w:t>
      </w:r>
      <w:r>
        <w:br/>
      </w:r>
      <w:r>
        <w:t xml:space="preserve">The Social Worker has demonstrated a strong commitment to the SWRB Code of Ethics. Case files reviewed indicate consistent adherence to principles of integrity, respect, and social justice. The practitioner has shown particular diligence in maintaining confidentiality while navigating complex family dynamics common in Wellington’s close-knit communities. There were no instances of ethical breaches identified during this review period.</w:t>
      </w:r>
    </w:p>
    <w:p>
      <w:pPr>
        <w:pStyle w:val="BodyText"/>
      </w:pPr>
      <w:r>
        <w:rPr>
          <w:bCs/>
          <w:b/>
        </w:rPr>
        <w:t xml:space="preserve">3.2 Cultural Competence and Responsiveness</w:t>
      </w:r>
      <w:r>
        <w:br/>
      </w:r>
      <w:r>
        <w:t xml:space="preserve">A significant strength observed is the Social Worker’s engagement with cultural protocols. The practitioner has successfully integrated tikanga Māori into their assessment processes, ensuring that whānau voices are central to decision-making. In Wellington, where cultural diversity is high, the Social Worker has also shown sensitivity to the needs of Pasifika and refugee communities, utilizing appropriate interpreters and cultural brokers when necessary. This approach aligns with the national expectation for culturally responsive social work.</w:t>
      </w:r>
    </w:p>
    <w:p>
      <w:pPr>
        <w:pStyle w:val="BodyText"/>
      </w:pPr>
      <w:r>
        <w:rPr>
          <w:bCs/>
          <w:b/>
        </w:rPr>
        <w:t xml:space="preserve">3.3 Intervention and Case Management</w:t>
      </w:r>
      <w:r>
        <w:br/>
      </w:r>
      <w:r>
        <w:t xml:space="preserve">The review of case notes reveals a systematic and evidence-based approach to intervention. The Social Worker effectively utilizes strengths-based perspectives, focusing on client resilience rather than deficits. In the context of Wellington’s housing crisis, the practitioner has demonstrated resourcefulness in connecting clients with local support networks, including community housing providers and mental health services. The documentation is thorough, clear, and compliant with legal standards, ensuring accountability and continuity of care.</w:t>
      </w:r>
    </w:p>
    <w:bookmarkEnd w:id="23"/>
    <w:bookmarkStart w:id="24" w:name="areas-for-development"/>
    <w:p>
      <w:pPr>
        <w:pStyle w:val="Heading2"/>
      </w:pPr>
      <w:r>
        <w:t xml:space="preserve">4. Areas for Development</w:t>
      </w:r>
    </w:p>
    <w:p>
      <w:pPr>
        <w:pStyle w:val="FirstParagraph"/>
      </w:pPr>
      <w:r>
        <w:t xml:space="preserve">While the Social Worker’s practice is largely exemplary, the peer review identifies areas for continued growth. Firstly, there is an opportunity to deepen engagement with local Wellington iwi partnerships. While current practices are respectful, more proactive collaboration could enhance the cultural safety of interventions. Secondly, the Social Worker is encouraged to further develop skills in trauma-informed care, particularly as it relates to intergenerational trauma prevalent in some Wellington communities.</w:t>
      </w:r>
    </w:p>
    <w:p>
      <w:pPr>
        <w:pStyle w:val="BodyText"/>
      </w:pPr>
      <w:r>
        <w:t xml:space="preserve">Additionally, given the evolving legislative landscape in New Zealand, ongoing professional development regarding the Oranga Tamariki Act and recent amendments is recommended. This will ensure the Social Worker remains fully aligned with national best practices and legal obligations.</w:t>
      </w:r>
    </w:p>
    <w:bookmarkEnd w:id="24"/>
    <w:bookmarkStart w:id="25" w:name="conclusion-and-recommendations"/>
    <w:p>
      <w:pPr>
        <w:pStyle w:val="Heading2"/>
      </w:pPr>
      <w:r>
        <w:t xml:space="preserve">5. Conclusion and Recommendations</w:t>
      </w:r>
    </w:p>
    <w:p>
      <w:pPr>
        <w:pStyle w:val="FirstParagraph"/>
      </w:pPr>
      <w:r>
        <w:t xml:space="preserve">This Peer Review Report concludes that the Social Worker is practicing at a competent and ethical level within the New Zealand Wellington context. The practitioner demonstrates a clear understanding of the unique cultural and social dynamics of the region and applies this knowledge to deliver effective support to clients. Their commitment to Te Tiriti o Waitangi and the SWRB Code of Ethics is evident in their daily practice.</w:t>
      </w:r>
    </w:p>
    <w:p>
      <w:pPr>
        <w:pStyle w:val="BodyText"/>
      </w:pPr>
      <w:r>
        <w:t xml:space="preserve">It is recommended that the Social Worker continues their current professional development trajectory, with a specific focus on deepening iwi partnerships and trauma-informed methodologies. Regular peer supervision should be maintained to support reflective practice and ensure ongoing compliance with professional standards. This review affirms the Social Worker’s suitability to continue their practice in Wellington, contributing positively to the well-being of the community.</w:t>
      </w:r>
    </w:p>
    <w:bookmarkEnd w:id="25"/>
    <w:p>
      <w:pPr>
        <w:pStyle w:val="BodyText"/>
      </w:pPr>
      <w:r>
        <w:rPr>
          <w:bCs/>
          <w:b/>
        </w:rPr>
        <w:t xml:space="preserve">Reviewed by:</w:t>
      </w:r>
    </w:p>
    <w:p>
      <w:pPr>
        <w:pStyle w:val="BodyText"/>
      </w:pPr>
      <w:r>
        <w:t xml:space="preserve">Senior Peer Reviewer</w:t>
      </w:r>
    </w:p>
    <w:p>
      <w:pPr>
        <w:pStyle w:val="BodyText"/>
      </w:pPr>
      <w:r>
        <w:t xml:space="preserve">Wellington Social Work Association</w:t>
      </w:r>
    </w:p>
    <w:p>
      <w:pPr>
        <w:pStyle w:val="BodyText"/>
      </w:pPr>
      <w:r>
        <w:rPr>
          <w:iCs/>
          <w:i/>
        </w:rPr>
        <w:t xml:space="preserve">Registered Social Worker,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New Zealand Wellington</dc:title>
  <dc:creator/>
  <dc:language>en</dc:language>
  <cp:keywords/>
  <dcterms:created xsi:type="dcterms:W3CDTF">2026-10-10T05:52:39Z</dcterms:created>
  <dcterms:modified xsi:type="dcterms:W3CDTF">2026-10-10T05:52:39Z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