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Professional Practice Review for a Special Education Teacher</w:t>
      </w:r>
    </w:p>
    <w:p>
      <w:pPr>
        <w:pStyle w:val="BodyText"/>
      </w:pPr>
      <w:r>
        <w:rPr>
          <w:bCs/>
          <w:b/>
        </w:rPr>
        <w:t xml:space="preserve">Location:</w:t>
      </w:r>
      <w:r>
        <w:t xml:space="preserve"> </w:t>
      </w:r>
      <w:r>
        <w:t xml:space="preserve">Auckland, New Zealand</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set by the New Zealand Teachers Council (Teaching Council Aotearoa New Zealand). The purpose of this document is to evaluate the professional practice, pedagogical strategies, and cultural responsiveness of a Special Education Teacher operating within the diverse educational landscape of Auckland. This review aims to provide constructive feedback, identify areas of excellence, and outline professional development goals to ensure the highest quality of support for students with additional learning needs.</w:t>
      </w:r>
    </w:p>
    <w:p>
      <w:pPr>
        <w:pStyle w:val="BodyText"/>
      </w:pPr>
      <w:r>
        <w:t xml:space="preserve">The review process involved classroom observations, analysis of Individual Education Plans (IEPs), consultation with whānau (families), and a reflective dialogue with the teacher. The focus remains on the teacher's ability to implement inclusive practices that align with the New Zealand Curriculum and the principles of Te Tiriti o Waitangi.</w:t>
      </w:r>
    </w:p>
    <w:bookmarkEnd w:id="21"/>
    <w:bookmarkStart w:id="22" w:name="Xbfd636098f59828402c229bda212ddbfee67cd6"/>
    <w:p>
      <w:pPr>
        <w:pStyle w:val="Heading2"/>
      </w:pPr>
      <w:r>
        <w:t xml:space="preserve">2. Alignment with the New Zealand Curriculum and Inclusive Education</w:t>
      </w:r>
    </w:p>
    <w:p>
      <w:pPr>
        <w:pStyle w:val="FirstParagraph"/>
      </w:pPr>
      <w:r>
        <w:t xml:space="preserve">The Special Education Teacher demonstrates a robust understanding of the New Zealand Curriculum, particularly regarding the principles of inclusion and equity. In the context of Auckland’s multicultural environment, the teacher effectively adapts curriculum content to meet the diverse needs of learners. Observations indicate that the teacher successfully differentiates instruction, ensuring that students with disabilities or learning difficulties are not merely present in the classroom but are actively engaged and making progress.</w:t>
      </w:r>
    </w:p>
    <w:p>
      <w:pPr>
        <w:pStyle w:val="BodyText"/>
      </w:pPr>
      <w:r>
        <w:t xml:space="preserve">The teacher’s approach to inclusive education is commendable. They work collaboratively with classroom teachers to modify learning environments and resources. This collaboration ensures that the physical and social environment is accessible to all students, reflecting the inclusive ethos promoted by the Ministry of Education. The teacher’s ability to navigate the complexities of Auckland’s educational system, including working with external agencies and support services, is a significant strength.</w:t>
      </w:r>
    </w:p>
    <w:bookmarkEnd w:id="22"/>
    <w:bookmarkStart w:id="23" w:name="X2b97cc4fc2b9bfe7c4d7809a171d85c44a8f888"/>
    <w:p>
      <w:pPr>
        <w:pStyle w:val="Heading2"/>
      </w:pPr>
      <w:r>
        <w:t xml:space="preserve">3. Cultural Responsiveness and Te Tiriti o Waitangi</w:t>
      </w:r>
    </w:p>
    <w:p>
      <w:pPr>
        <w:pStyle w:val="FirstParagraph"/>
      </w:pPr>
      <w:r>
        <w:t xml:space="preserve">A critical aspect of this Peer Review Report is the evaluation of the teacher’s cultural responsiveness. In New Zealand, and specifically in Auckland, which is home to a significant Māori and Pasifika population, cultural competence is paramount. The Special Education Teacher has demonstrated a strong commitment to honoring Te Tiriti o Waitangi by integrating Māori perspectives and values into their practice.</w:t>
      </w:r>
    </w:p>
    <w:p>
      <w:pPr>
        <w:pStyle w:val="BodyText"/>
      </w:pPr>
      <w:r>
        <w:t xml:space="preserve">The teacher actively engages with whānau, recognizing them as partners in their child’s education. This relationship-building is evident in the regular communication and collaborative goal-setting processes. The teacher respects and incorporates the cultural backgrounds of Pasifika students, ensuring that learning materials and interactions are culturally relevant and affirming. This approach not only supports academic progress but also fosters a sense of belonging and identity for students, which is crucial for their overall well-being and success.</w:t>
      </w:r>
    </w:p>
    <w:bookmarkEnd w:id="23"/>
    <w:bookmarkStart w:id="24" w:name="pedagogical-strategies-and-assessment"/>
    <w:p>
      <w:pPr>
        <w:pStyle w:val="Heading2"/>
      </w:pPr>
      <w:r>
        <w:t xml:space="preserve">4. Pedagogical Strategies and Assessment</w:t>
      </w:r>
    </w:p>
    <w:p>
      <w:pPr>
        <w:pStyle w:val="FirstParagraph"/>
      </w:pPr>
      <w:r>
        <w:t xml:space="preserve">The teacher employs a wide range of evidence-based pedagogical strategies tailored to the specific needs of students with special educational needs. These strategies include visual supports, assistive technology, and structured teaching methods. The teacher’s use of data-driven decision-making is particularly noteworthy. They regularly assess student progress through both formal and informal assessments, using this data to adjust instruction and IEPs accordingly.</w:t>
      </w:r>
    </w:p>
    <w:p>
      <w:pPr>
        <w:pStyle w:val="BodyText"/>
      </w:pPr>
      <w:r>
        <w:t xml:space="preserve">In the classroom observations, the teacher was seen to effectively manage behavior using positive reinforcement and restorative practices. This approach aligns with best practices in special education and contributes to a safe and supportive learning environment. The teacher’s ability to de-escalate challenging situations and teach self-regulation skills is a valuable asset to the school community in Auckland.</w:t>
      </w:r>
    </w:p>
    <w:bookmarkEnd w:id="24"/>
    <w:bookmarkStart w:id="25" w:name="Xab70be65c29e7e1d15ce5f44cdb2fafd39181f8"/>
    <w:p>
      <w:pPr>
        <w:pStyle w:val="Heading2"/>
      </w:pPr>
      <w:r>
        <w:t xml:space="preserve">5. Professional Collaboration and Leadership</w:t>
      </w:r>
    </w:p>
    <w:p>
      <w:pPr>
        <w:pStyle w:val="FirstParagraph"/>
      </w:pPr>
      <w:r>
        <w:t xml:space="preserve">Collaboration is a cornerstone of effective special education practice. The teacher under review has demonstrated excellent collaborative skills, working closely with classroom teachers, support staff, and external specialists. They actively participate in professional learning communities and contribute to the development of school-wide policies on inclusion.</w:t>
      </w:r>
    </w:p>
    <w:p>
      <w:pPr>
        <w:pStyle w:val="BodyText"/>
      </w:pPr>
      <w:r>
        <w:t xml:space="preserve">The teacher also takes on a leadership role by mentoring other staff members in strategies for supporting diverse learners. This leadership is particularly valuable in Auckland schools, where the diversity of student needs requires a collective approach. The teacher’s willingness to share knowledge and resources enhances the overall capacity of the school to support all students.</w:t>
      </w:r>
    </w:p>
    <w:bookmarkEnd w:id="25"/>
    <w:bookmarkStart w:id="26" w:name="X5485177e83fa99b127d979682053d2e29a61e01"/>
    <w:p>
      <w:pPr>
        <w:pStyle w:val="Heading2"/>
      </w:pPr>
      <w:r>
        <w:t xml:space="preserve">6. Areas for Development and Recommendations</w:t>
      </w:r>
    </w:p>
    <w:p>
      <w:pPr>
        <w:pStyle w:val="FirstParagraph"/>
      </w:pPr>
      <w:r>
        <w:t xml:space="preserve">While the teacher’s practice is highly effective, there are areas for continued growth. It is recommended that the teacher further develop their expertise in using digital tools for assessment and intervention. As technology continues to evolve, staying current with these tools will enhance the teacher’s ability to support students.</w:t>
      </w:r>
    </w:p>
    <w:p>
      <w:pPr>
        <w:pStyle w:val="BodyText"/>
      </w:pPr>
      <w:r>
        <w:t xml:space="preserve">Additionally, the teacher is encouraged to deepen their understanding of specific learning disabilities, such as dyslexia and autism spectrum disorder, through targeted professional development. This will enable them to provide even more specialized support to students. Finally, continuing to strengthen relationships with local iwi and community organizations in Auckland will further enrich the teacher’s cultural responsiveness and support network.</w:t>
      </w:r>
    </w:p>
    <w:bookmarkEnd w:id="26"/>
    <w:bookmarkStart w:id="27" w:name="conclusion"/>
    <w:p>
      <w:pPr>
        <w:pStyle w:val="Heading2"/>
      </w:pPr>
      <w:r>
        <w:t xml:space="preserve">7. Conclusion</w:t>
      </w:r>
    </w:p>
    <w:p>
      <w:pPr>
        <w:pStyle w:val="FirstParagraph"/>
      </w:pPr>
      <w:r>
        <w:t xml:space="preserve">This Peer Review Report concludes that the Special Education Teacher is a highly competent and dedicated professional who makes a significant contribution to the educational outcomes of students in Auckland. Their commitment to inclusive practices, cultural responsiveness, and professional collaboration aligns with the highest standards of the teaching profession in New Zealand. With continued professional development, the teacher is well-positioned to further enhance their practice and support the diverse needs of learners in their community.</w:t>
      </w:r>
    </w:p>
    <w:bookmarkEnd w:id="27"/>
    <w:bookmarkStart w:id="28" w:name="signatures"/>
    <w:p>
      <w:pPr>
        <w:pStyle w:val="Heading3"/>
      </w:pPr>
      <w:r>
        <w:t xml:space="preserve">Signatures</w:t>
      </w:r>
    </w:p>
    <w:p>
      <w:pPr>
        <w:pStyle w:val="FirstParagraph"/>
      </w:pPr>
      <w:r>
        <w:rPr>
          <w:bCs/>
          <w:b/>
        </w:rPr>
        <w:t xml:space="preserve">Peer Reviewer:</w:t>
      </w:r>
    </w:p>
    <w:p>
      <w:pPr>
        <w:pStyle w:val="BodyText"/>
      </w:pPr>
      <w:r>
        <w:t xml:space="preserve">Name: [Reviewer Name]</w:t>
      </w:r>
    </w:p>
    <w:p>
      <w:pPr>
        <w:pStyle w:val="BodyText"/>
      </w:pPr>
      <w:r>
        <w:t xml:space="preserve">Date: [Date]</w:t>
      </w:r>
    </w:p>
    <w:p>
      <w:pPr>
        <w:pStyle w:val="BodyText"/>
      </w:pPr>
      <w:r>
        <w:rPr>
          <w:bCs/>
          <w:b/>
        </w:rPr>
        <w:t xml:space="preserve">Special Education Teacher:</w:t>
      </w:r>
    </w:p>
    <w:p>
      <w:pPr>
        <w:pStyle w:val="BodyText"/>
      </w:pPr>
      <w:r>
        <w:t xml:space="preserve">Name: [Teacher Name]</w:t>
      </w:r>
    </w:p>
    <w:p>
      <w:pPr>
        <w:pStyle w:val="BodyText"/>
      </w:pPr>
      <w:r>
        <w:t xml:space="preserve">Date: [Date]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Auckland, New Zealand</dc:title>
  <dc:creator/>
  <dc:language>en</dc:language>
  <cp:keywords/>
  <dcterms:created xsi:type="dcterms:W3CDTF">2026-10-10T03:21:44Z</dcterms:created>
  <dcterms:modified xsi:type="dcterms:W3CDTF">2026-10-10T03:21:44Z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