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32" w:name="peer-review-report"/>
    <w:p>
      <w:pPr>
        <w:pStyle w:val="Heading1"/>
      </w:pPr>
      <w:r>
        <w:t xml:space="preserve">Peer Review Report</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Wellington, New Zealand</w:t>
      </w:r>
    </w:p>
    <w:bookmarkStart w:id="20" w:name="teacher-information"/>
    <w:p>
      <w:pPr>
        <w:pStyle w:val="Heading2"/>
      </w:pPr>
      <w:r>
        <w:t xml:space="preserve">1. Teacher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Teacher Name</w:t>
            </w:r>
          </w:p>
        </w:tc>
        <w:tc>
          <w:tcPr/>
          <w:p>
            <w:pPr>
              <w:pStyle w:val="Compact"/>
              <w:jc w:val="left"/>
            </w:pPr>
            <w:r>
              <w:t xml:space="preserve">[Insert Teacher Name]</w:t>
            </w:r>
          </w:p>
        </w:tc>
      </w:tr>
      <w:tr>
        <w:tc>
          <w:tcPr/>
          <w:p>
            <w:pPr>
              <w:pStyle w:val="Compact"/>
              <w:jc w:val="left"/>
            </w:pPr>
            <w:r>
              <w:t xml:space="preserve">Role</w:t>
            </w:r>
          </w:p>
        </w:tc>
        <w:tc>
          <w:tcPr/>
          <w:p>
            <w:pPr>
              <w:pStyle w:val="Compact"/>
              <w:jc w:val="left"/>
            </w:pPr>
            <w:r>
              <w:t xml:space="preserve">Special Education Teacher</w:t>
            </w:r>
          </w:p>
        </w:tc>
      </w:tr>
      <w:tr>
        <w:tc>
          <w:tcPr/>
          <w:p>
            <w:pPr>
              <w:pStyle w:val="Compact"/>
              <w:jc w:val="left"/>
            </w:pPr>
            <w:r>
              <w:t xml:space="preserve">School/Institution</w:t>
            </w:r>
          </w:p>
        </w:tc>
        <w:tc>
          <w:tcPr/>
          <w:p>
            <w:pPr>
              <w:pStyle w:val="Compact"/>
              <w:jc w:val="left"/>
            </w:pPr>
            <w:r>
              <w:t xml:space="preserve">[Insert School Name], Wellington</w:t>
            </w:r>
          </w:p>
        </w:tc>
      </w:tr>
      <w:tr>
        <w:tc>
          <w:tcPr/>
          <w:p>
            <w:pPr>
              <w:pStyle w:val="Compact"/>
              <w:jc w:val="left"/>
            </w:pPr>
            <w:r>
              <w:t xml:space="preserve">Review Period</w:t>
            </w:r>
          </w:p>
        </w:tc>
        <w:tc>
          <w:tcPr/>
          <w:p>
            <w:pPr>
              <w:pStyle w:val="Compact"/>
              <w:jc w:val="left"/>
            </w:pPr>
            <w:r>
              <w:t xml:space="preserve">Term 3 &amp; Term 4, 2023</w:t>
            </w:r>
          </w:p>
        </w:tc>
      </w:tr>
      <w:tr>
        <w:tc>
          <w:tcPr/>
          <w:p>
            <w:pPr>
              <w:pStyle w:val="Compact"/>
              <w:jc w:val="left"/>
            </w:pPr>
            <w:r>
              <w:t xml:space="preserve">Reviewer Name</w:t>
            </w:r>
          </w:p>
        </w:tc>
        <w:tc>
          <w:tcPr/>
          <w:p>
            <w:pPr>
              <w:pStyle w:val="Compact"/>
              <w:jc w:val="left"/>
            </w:pPr>
            <w:r>
              <w:t xml:space="preserve">[Insert Reviewer Name]</w:t>
            </w:r>
          </w:p>
        </w:tc>
      </w:tr>
      <w:tr>
        <w:tc>
          <w:tcPr/>
          <w:p>
            <w:pPr>
              <w:pStyle w:val="Compact"/>
              <w:jc w:val="left"/>
            </w:pPr>
            <w:r>
              <w:t xml:space="preserve">Reviewer Role</w:t>
            </w:r>
          </w:p>
        </w:tc>
        <w:tc>
          <w:tcPr/>
          <w:p>
            <w:pPr>
              <w:pStyle w:val="Compact"/>
              <w:jc w:val="left"/>
            </w:pPr>
            <w:r>
              <w:t xml:space="preserve">Senior Special Education Teacher / Mentor</w:t>
            </w:r>
          </w:p>
        </w:tc>
      </w:tr>
    </w:tbl>
    <w:bookmarkEnd w:id="20"/>
    <w:bookmarkStart w:id="21" w:name="introduction-and-context"/>
    <w:p>
      <w:pPr>
        <w:pStyle w:val="Heading2"/>
      </w:pPr>
      <w:r>
        <w:t xml:space="preserve">2. Introduction and Context</w:t>
      </w:r>
    </w:p>
    <w:p>
      <w:pPr>
        <w:pStyle w:val="FirstParagraph"/>
      </w:pPr>
      <w:r>
        <w:t xml:space="preserve">This Peer Review Report has been conducted in accordance with the professional standards set by the New Zealand Teachers Council (now the Education Council) and the specific requirements of the Wellington Regional Office. The purpose of this review is to evaluate the professional practice of the Special Education Teacher, focusing on their ability to support diverse learners, implement inclusive strategies, and collaborate effectively within the school community.</w:t>
      </w:r>
    </w:p>
    <w:p>
      <w:pPr>
        <w:pStyle w:val="BodyText"/>
      </w:pPr>
      <w:r>
        <w:t xml:space="preserve">The review process involved classroom observations, analysis of student progress data, interviews with colleagues and parents, and a reflective discussion with the teacher. The context of this review is deeply rooted in the Wellington educational landscape, where there is a strong emphasis on equity, inclusion, and the wellbeing of all students, particularly those with additional learning needs.</w:t>
      </w:r>
    </w:p>
    <w:bookmarkEnd w:id="21"/>
    <w:bookmarkStart w:id="22" w:name="X6a0abff2bb6040678c5a8c44f2547a490b78282"/>
    <w:p>
      <w:pPr>
        <w:pStyle w:val="Heading2"/>
      </w:pPr>
      <w:r>
        <w:t xml:space="preserve">3. Alignment with the New Zealand Curriculum and Te Tiriti o Waitangi</w:t>
      </w:r>
    </w:p>
    <w:p>
      <w:pPr>
        <w:pStyle w:val="FirstParagraph"/>
      </w:pPr>
      <w:r>
        <w:t xml:space="preserve">A critical aspect of this review is the teacher's alignment with the New Zealand Curriculum (NZC) and the principles of Te Tiriti o Waitangi. The Special Education Teacher has demonstrated a strong commitment to providing equitable opportunities for all students, regardless of their learning challenges.</w:t>
      </w:r>
    </w:p>
    <w:p>
      <w:pPr>
        <w:pStyle w:val="BodyText"/>
      </w:pPr>
      <w:r>
        <w:t xml:space="preserve">The teacher effectively integrates culturally responsive practices into their teaching, ensuring that the cultural identities of Māori and Pasifika students are respected and valued. This is particularly important in Wellington, where the student population is diverse. The teacher has shown a deep understanding of the importance of whānau (family) involvement and has established strong partnerships with families to support student learning and wellbeing.</w:t>
      </w:r>
    </w:p>
    <w:bookmarkEnd w:id="22"/>
    <w:bookmarkStart w:id="26" w:name="X9e8ca278014047aa89264fd92d46f4777051a2a"/>
    <w:p>
      <w:pPr>
        <w:pStyle w:val="Heading2"/>
      </w:pPr>
      <w:r>
        <w:t xml:space="preserve">4. Professional Practice and Classroom Observations</w:t>
      </w:r>
    </w:p>
    <w:bookmarkStart w:id="23" w:name="X1677c7a4ebe1450b4c2b8ed4aeb9e70bffa1f8e"/>
    <w:p>
      <w:pPr>
        <w:pStyle w:val="Heading3"/>
      </w:pPr>
      <w:r>
        <w:t xml:space="preserve">4.1. Differentiation and Individualized Support</w:t>
      </w:r>
    </w:p>
    <w:p>
      <w:pPr>
        <w:pStyle w:val="FirstParagraph"/>
      </w:pPr>
      <w:r>
        <w:t xml:space="preserve">During classroom observations, the Special Education Teacher demonstrated exceptional skill in differentiating instruction to meet the diverse needs of students. The teacher uses a variety of strategies, including visual aids, assistive technology, and modified tasks, to ensure that all students can access the curriculum. The teacher's ability to create individualized education plans (IEPs) that are realistic, measurable, and student-centered is commendable.</w:t>
      </w:r>
    </w:p>
    <w:bookmarkEnd w:id="23"/>
    <w:bookmarkStart w:id="24" w:name="classroom-management-and-environment"/>
    <w:p>
      <w:pPr>
        <w:pStyle w:val="Heading3"/>
      </w:pPr>
      <w:r>
        <w:t xml:space="preserve">4.2. Classroom Management and Environment</w:t>
      </w:r>
    </w:p>
    <w:p>
      <w:pPr>
        <w:pStyle w:val="FirstParagraph"/>
      </w:pPr>
      <w:r>
        <w:t xml:space="preserve">The classroom environment is well-organized and conducive to learning. The teacher has created a safe and supportive space where students feel comfortable expressing themselves and taking risks. The use of positive behavior support strategies is evident, and the teacher consistently models respectful and inclusive behavior.</w:t>
      </w:r>
    </w:p>
    <w:bookmarkEnd w:id="24"/>
    <w:bookmarkStart w:id="25" w:name="collaboration-and-teamwork"/>
    <w:p>
      <w:pPr>
        <w:pStyle w:val="Heading3"/>
      </w:pPr>
      <w:r>
        <w:t xml:space="preserve">4.3. Collaboration and Teamwork</w:t>
      </w:r>
    </w:p>
    <w:p>
      <w:pPr>
        <w:pStyle w:val="FirstParagraph"/>
      </w:pPr>
      <w:r>
        <w:t xml:space="preserve">The Special Education Teacher works collaboratively with classroom teachers, support staff, and external agencies to ensure a holistic approach to student support. The teacher actively participates in staff meetings and professional learning communities, sharing expertise and contributing to the development of inclusive practices across the school.</w:t>
      </w:r>
    </w:p>
    <w:bookmarkEnd w:id="25"/>
    <w:bookmarkEnd w:id="26"/>
    <w:bookmarkStart w:id="27" w:name="student-progress-and-outcomes"/>
    <w:p>
      <w:pPr>
        <w:pStyle w:val="Heading2"/>
      </w:pPr>
      <w:r>
        <w:t xml:space="preserve">5. Student Progress and Outcomes</w:t>
      </w:r>
    </w:p>
    <w:p>
      <w:pPr>
        <w:pStyle w:val="FirstParagraph"/>
      </w:pPr>
      <w:r>
        <w:t xml:space="preserve">Analysis of student progress data indicates that the Special Education Teacher has made a significant impact on student outcomes. Students under the teacher's care have shown improvement in literacy, numeracy, and social-emotional skills. The teacher uses data effectively to inform instruction and adjust teaching strategies as needed.</w:t>
      </w:r>
    </w:p>
    <w:p>
      <w:pPr>
        <w:pStyle w:val="BodyText"/>
      </w:pPr>
      <w:r>
        <w:t xml:space="preserve">Parent feedback has been overwhelmingly positive, with many parents expressing appreciation for the teacher's dedication, communication, and support. Parents feel that their children are valued and supported, and they are actively involved in their children's learning journey.</w:t>
      </w:r>
    </w:p>
    <w:bookmarkEnd w:id="27"/>
    <w:bookmarkStart w:id="28" w:name="strengths"/>
    <w:p>
      <w:pPr>
        <w:pStyle w:val="Heading2"/>
      </w:pPr>
      <w:r>
        <w:t xml:space="preserve">6. Strengths</w:t>
      </w:r>
    </w:p>
    <w:p>
      <w:pPr>
        <w:numPr>
          <w:ilvl w:val="0"/>
          <w:numId w:val="1001"/>
        </w:numPr>
        <w:pStyle w:val="Compact"/>
      </w:pPr>
      <w:r>
        <w:t xml:space="preserve">Strong ability to differentiate instruction and create individualized learning plans.</w:t>
      </w:r>
    </w:p>
    <w:p>
      <w:pPr>
        <w:numPr>
          <w:ilvl w:val="0"/>
          <w:numId w:val="1001"/>
        </w:numPr>
        <w:pStyle w:val="Compact"/>
      </w:pPr>
      <w:r>
        <w:t xml:space="preserve">Excellent communication and collaboration skills with colleagues, parents, and external agencies.</w:t>
      </w:r>
    </w:p>
    <w:p>
      <w:pPr>
        <w:numPr>
          <w:ilvl w:val="0"/>
          <w:numId w:val="1001"/>
        </w:numPr>
        <w:pStyle w:val="Compact"/>
      </w:pPr>
      <w:r>
        <w:t xml:space="preserve">Deep commitment to culturally responsive teaching and the principles of Te Tiriti o Waitangi.</w:t>
      </w:r>
    </w:p>
    <w:p>
      <w:pPr>
        <w:numPr>
          <w:ilvl w:val="0"/>
          <w:numId w:val="1001"/>
        </w:numPr>
        <w:pStyle w:val="Compact"/>
      </w:pPr>
      <w:r>
        <w:t xml:space="preserve">Effective use of data to inform instruction and monitor student progress.</w:t>
      </w:r>
    </w:p>
    <w:p>
      <w:pPr>
        <w:numPr>
          <w:ilvl w:val="0"/>
          <w:numId w:val="1001"/>
        </w:numPr>
        <w:pStyle w:val="Compact"/>
      </w:pPr>
      <w:r>
        <w:t xml:space="preserve">Creates a safe, supportive, and inclusive classroom environment.</w:t>
      </w:r>
    </w:p>
    <w:bookmarkEnd w:id="28"/>
    <w:bookmarkStart w:id="29" w:name="areas-for-development"/>
    <w:p>
      <w:pPr>
        <w:pStyle w:val="Heading2"/>
      </w:pPr>
      <w:r>
        <w:t xml:space="preserve">7. Areas for Development</w:t>
      </w:r>
    </w:p>
    <w:p>
      <w:pPr>
        <w:numPr>
          <w:ilvl w:val="0"/>
          <w:numId w:val="1002"/>
        </w:numPr>
        <w:pStyle w:val="Compact"/>
      </w:pPr>
      <w:r>
        <w:t xml:space="preserve">Further development in the use of assistive technology to support students with complex needs.</w:t>
      </w:r>
    </w:p>
    <w:p>
      <w:pPr>
        <w:numPr>
          <w:ilvl w:val="0"/>
          <w:numId w:val="1002"/>
        </w:numPr>
        <w:pStyle w:val="Compact"/>
      </w:pPr>
      <w:r>
        <w:t xml:space="preserve">Opportunities to lead professional development sessions for other teachers on inclusive practices.</w:t>
      </w:r>
    </w:p>
    <w:p>
      <w:pPr>
        <w:numPr>
          <w:ilvl w:val="0"/>
          <w:numId w:val="1002"/>
        </w:numPr>
        <w:pStyle w:val="Compact"/>
      </w:pPr>
      <w:r>
        <w:t xml:space="preserve">Continued focus on building relationships with Māori and Pasifika whānau to enhance cultural responsiveness.</w:t>
      </w:r>
    </w:p>
    <w:bookmarkEnd w:id="29"/>
    <w:bookmarkStart w:id="30"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Encourage the teacher to pursue further professional learning in assistive technology and its application in special education.</w:t>
      </w:r>
    </w:p>
    <w:p>
      <w:pPr>
        <w:numPr>
          <w:ilvl w:val="0"/>
          <w:numId w:val="1003"/>
        </w:numPr>
        <w:pStyle w:val="Compact"/>
      </w:pPr>
      <w:r>
        <w:t xml:space="preserve">Provide opportunities for the teacher to lead professional development sessions for other teachers, sharing their expertise in inclusive practices.</w:t>
      </w:r>
    </w:p>
    <w:p>
      <w:pPr>
        <w:numPr>
          <w:ilvl w:val="0"/>
          <w:numId w:val="1003"/>
        </w:numPr>
        <w:pStyle w:val="Compact"/>
      </w:pPr>
      <w:r>
        <w:t xml:space="preserve">Support the teacher in building stronger relationships with Māori and Pasifika whānau through targeted professional development and community engagement activities.</w:t>
      </w:r>
    </w:p>
    <w:bookmarkEnd w:id="30"/>
    <w:bookmarkStart w:id="31" w:name="conclusion"/>
    <w:p>
      <w:pPr>
        <w:pStyle w:val="Heading2"/>
      </w:pPr>
      <w:r>
        <w:t xml:space="preserve">9. Conclusion</w:t>
      </w:r>
    </w:p>
    <w:p>
      <w:pPr>
        <w:pStyle w:val="FirstParagraph"/>
      </w:pPr>
      <w:r>
        <w:t xml:space="preserve">This Peer Review Report highlights the exceptional professional practice of the Special Education Teacher in Wellington, New Zealand. The teacher's dedication to supporting diverse learners, their commitment to culturally responsive teaching, and their collaborative approach to education are commendable. With continued professional development and support, the teacher is well-positioned to make an even greater impact on student outcomes and contribute to the development of inclusive practices across the school and the wider Wellington community.</w:t>
      </w:r>
    </w:p>
    <w:p>
      <w:pPr>
        <w:pStyle w:val="BodyText"/>
      </w:pPr>
      <w:r>
        <w:rPr>
          <w:bCs/>
          <w:b/>
        </w:rPr>
        <w:t xml:space="preserve">Teacher Signature:</w:t>
      </w:r>
    </w:p>
    <w:p>
      <w:pPr>
        <w:pStyle w:val="BodyText"/>
      </w:pPr>
      <w:r>
        <w:t xml:space="preserve">Date: _______________</w:t>
      </w:r>
    </w:p>
    <w:p>
      <w:pPr>
        <w:pStyle w:val="BodyText"/>
      </w:pPr>
      <w:r>
        <w:rPr>
          <w:bCs/>
          <w:b/>
        </w:rPr>
        <w:t xml:space="preserve">Reviewer Signature:</w:t>
      </w:r>
    </w:p>
    <w:p>
      <w:pPr>
        <w:pStyle w:val="BodyText"/>
      </w:pPr>
      <w:r>
        <w:t xml:space="preserve">Date: 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2026-10-10T03:21:42Z</dcterms:created>
  <dcterms:modified xsi:type="dcterms:W3CDTF">2026-10-10T03:21:42Z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