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t xml:space="preserve">Evaluation of Professional Practice and Pedagogical Excellence</w:t>
      </w:r>
    </w:p>
    <w:p>
      <w:pPr>
        <w:pStyle w:val="BodyText"/>
      </w:pPr>
      <w:r>
        <w:rPr>
          <w:bCs/>
          <w:b/>
        </w:rPr>
        <w:t xml:space="preserve">Location:</w:t>
      </w:r>
      <w:r>
        <w:t xml:space="preserve"> </w:t>
      </w:r>
      <w:r>
        <w:t xml:space="preserve">Istanbul, Turkey</w:t>
      </w:r>
      <w:r>
        <w:br/>
      </w:r>
      <w:r>
        <w:rPr>
          <w:bCs/>
          <w:b/>
        </w:rPr>
        <w:t xml:space="preserve">Institution Type:</w:t>
      </w:r>
      <w:r>
        <w:t xml:space="preserve"> </w:t>
      </w:r>
      <w:r>
        <w:t xml:space="preserve">Special Education and Rehabilitation Center (OER)</w:t>
      </w:r>
    </w:p>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Annual Performance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of a</w:t>
      </w:r>
      <w:r>
        <w:t xml:space="preserve"> </w:t>
      </w:r>
      <w:r>
        <w:rPr>
          <w:bCs/>
          <w:b/>
        </w:rPr>
        <w:t xml:space="preserve">Special Education Teacher</w:t>
      </w:r>
      <w:r>
        <w:t xml:space="preserve"> </w:t>
      </w:r>
      <w:r>
        <w:t xml:space="preserve">operating within the dynamic educational landscape of</w:t>
      </w:r>
      <w:r>
        <w:t xml:space="preserve"> </w:t>
      </w:r>
      <w:r>
        <w:rPr>
          <w:bCs/>
          <w:b/>
        </w:rPr>
        <w:t xml:space="preserve">Turkey Istanbul</w:t>
      </w:r>
      <w:r>
        <w:t xml:space="preserve">. The review process was conducted in accordance with the Ministry of National Education (MEB) guidelines and local district protocols. The primary objective of this assessment is to analyze the teacher's instructional strategies, adherence to Individualized Education Programs (IEPs), and their ability to navigate the specific socio-cultural and logistical challenges inherent to special education in a major metropolitan hub like Istanbul.</w:t>
      </w:r>
    </w:p>
    <w:p>
      <w:pPr>
        <w:pStyle w:val="BodyText"/>
      </w:pPr>
      <w:r>
        <w:t xml:space="preserve">The subject of this review has demonstrated a high level of dedication to inclusive education. The evaluation highlights significant strengths in curriculum adaptation and student engagement, while also identifying areas for professional growth regarding administrative documentation and interdisciplinary collaboration.</w:t>
      </w:r>
    </w:p>
    <w:bookmarkEnd w:id="21"/>
    <w:bookmarkStart w:id="22" w:name="X62dcbc6dcbb315134293508651baf20f68f8ca7"/>
    <w:p>
      <w:pPr>
        <w:pStyle w:val="Heading2"/>
      </w:pPr>
      <w:r>
        <w:t xml:space="preserve">2. Contextual Framework: Special Education in Istanbul</w:t>
      </w:r>
    </w:p>
    <w:p>
      <w:pPr>
        <w:pStyle w:val="FirstParagraph"/>
      </w:pPr>
      <w:r>
        <w:t xml:space="preserve">Conducting a peer review in</w:t>
      </w:r>
      <w:r>
        <w:t xml:space="preserve"> </w:t>
      </w:r>
      <w:r>
        <w:rPr>
          <w:bCs/>
          <w:b/>
        </w:rPr>
        <w:t xml:space="preserve">Turkey Istanbul</w:t>
      </w:r>
      <w:r>
        <w:t xml:space="preserve"> </w:t>
      </w:r>
      <w:r>
        <w:t xml:space="preserve">requires an understanding of the unique environment. Istanbul presents a diverse demographic profile, including a high population of students with special needs due to both local demographics and migration patterns. A</w:t>
      </w:r>
      <w:r>
        <w:t xml:space="preserve"> </w:t>
      </w:r>
      <w:r>
        <w:rPr>
          <w:bCs/>
          <w:b/>
        </w:rPr>
        <w:t xml:space="preserve">Special Education Teacher</w:t>
      </w:r>
      <w:r>
        <w:t xml:space="preserve"> </w:t>
      </w:r>
      <w:r>
        <w:t xml:space="preserve">in this region must be adept at managing classrooms with varying levels of severity in disabilities, ranging from mild learning difficulties to severe physical and cognitive impairments.</w:t>
      </w:r>
    </w:p>
    <w:p>
      <w:pPr>
        <w:pStyle w:val="BodyText"/>
      </w:pPr>
      <w:r>
        <w:t xml:space="preserve">Furthermore, the teacher must align their practice with the Turkish National Curriculum while integrating modern, evidence-based special education practices. This</w:t>
      </w:r>
      <w:r>
        <w:t xml:space="preserve"> </w:t>
      </w:r>
      <w:r>
        <w:rPr>
          <w:bCs/>
          <w:b/>
        </w:rPr>
        <w:t xml:space="preserve">Peer Review Report</w:t>
      </w:r>
      <w:r>
        <w:t xml:space="preserve"> </w:t>
      </w:r>
      <w:r>
        <w:t xml:space="preserve">assesses how effectively the teacher balances these national standards with the individualized needs of students in a resource-intensive urban setting.</w:t>
      </w:r>
    </w:p>
    <w:bookmarkEnd w:id="22"/>
    <w:bookmarkStart w:id="25" w:name="Xe4aa69fc2fe1052e96167c9a69e5147a03415f4"/>
    <w:p>
      <w:pPr>
        <w:pStyle w:val="Heading2"/>
      </w:pPr>
      <w:r>
        <w:t xml:space="preserve">3. Instructional Practice and IEP Implementation</w:t>
      </w:r>
    </w:p>
    <w:bookmarkStart w:id="23" w:name="individualized-education-programs-ieps"/>
    <w:p>
      <w:pPr>
        <w:pStyle w:val="Heading3"/>
      </w:pPr>
      <w:r>
        <w:t xml:space="preserve">3.1 Individualized Education Programs (IEPs)</w:t>
      </w:r>
    </w:p>
    <w:p>
      <w:pPr>
        <w:pStyle w:val="FirstParagraph"/>
      </w:pPr>
      <w:r>
        <w:t xml:space="preserve">The cornerstone of special education is the IEP. During classroom observations, it was evident that the</w:t>
      </w:r>
      <w:r>
        <w:t xml:space="preserve"> </w:t>
      </w:r>
      <w:r>
        <w:rPr>
          <w:bCs/>
          <w:b/>
        </w:rPr>
        <w:t xml:space="preserve">Special Education Teacher</w:t>
      </w:r>
      <w:r>
        <w:t xml:space="preserve"> </w:t>
      </w:r>
      <w:r>
        <w:t xml:space="preserve">meticulously follows the IEPs developed for each student. The teacher successfully breaks down complex learning objectives into manageable tasks, ensuring that students with diverse abilities can access the curriculum. The alignment between the written IEP goals and the daily instructional activities was found to be excellent.</w:t>
      </w:r>
    </w:p>
    <w:bookmarkEnd w:id="23"/>
    <w:bookmarkStart w:id="24" w:name="differentiated-instruction"/>
    <w:p>
      <w:pPr>
        <w:pStyle w:val="Heading3"/>
      </w:pPr>
      <w:r>
        <w:t xml:space="preserve">3.2 Differentiated Instruction</w:t>
      </w:r>
    </w:p>
    <w:p>
      <w:pPr>
        <w:pStyle w:val="FirstParagraph"/>
      </w:pPr>
      <w:r>
        <w:t xml:space="preserve">The teacher employs a variety of differentiated instruction strategies tailored to the specific learning styles of students in</w:t>
      </w:r>
      <w:r>
        <w:t xml:space="preserve"> </w:t>
      </w:r>
      <w:r>
        <w:rPr>
          <w:bCs/>
          <w:b/>
        </w:rPr>
        <w:t xml:space="preserve">Turkey Istanbul</w:t>
      </w:r>
      <w:r>
        <w:t xml:space="preserve">. This includes the use of visual aids, sensory integration techniques, and assistive technology. The ability to modify materials on the fly to accommodate students with autism spectrum disorder (ASD) and intellectual disabilities was particularly noteworthy. The classroom environment is structured to minimize distractions while maximizing engagement, a critical factor in the bustling environment of Istanbul schools.</w:t>
      </w:r>
    </w:p>
    <w:bookmarkEnd w:id="24"/>
    <w:bookmarkEnd w:id="25"/>
    <w:bookmarkStart w:id="26" w:name="Xfae0c81050303d84e1a7085f4b263368b00f910"/>
    <w:p>
      <w:pPr>
        <w:pStyle w:val="Heading2"/>
      </w:pPr>
      <w:r>
        <w:t xml:space="preserve">4. Classroom Management and Behavioral Support</w:t>
      </w:r>
    </w:p>
    <w:p>
      <w:pPr>
        <w:pStyle w:val="FirstParagraph"/>
      </w:pPr>
      <w:r>
        <w:t xml:space="preserve">Effective classroom management is vital for a</w:t>
      </w:r>
      <w:r>
        <w:t xml:space="preserve"> </w:t>
      </w:r>
      <w:r>
        <w:rPr>
          <w:bCs/>
          <w:b/>
        </w:rPr>
        <w:t xml:space="preserve">Special Education Teacher</w:t>
      </w:r>
      <w:r>
        <w:t xml:space="preserve">. The review indicates that the teacher utilizes Positive Behavior Support (PBS) strategies effectively. There is a clear, consistent system of rewards and consequences that is understood by the students. The teacher maintains a calm and supportive demeanor, even during challenging behavioral episodes, which fosters a sense of safety and trust among the students.</w:t>
      </w:r>
    </w:p>
    <w:p>
      <w:pPr>
        <w:pStyle w:val="BodyText"/>
      </w:pPr>
      <w:r>
        <w:t xml:space="preserve">In the context of</w:t>
      </w:r>
      <w:r>
        <w:t xml:space="preserve"> </w:t>
      </w:r>
      <w:r>
        <w:rPr>
          <w:bCs/>
          <w:b/>
        </w:rPr>
        <w:t xml:space="preserve">Turkey Istanbul</w:t>
      </w:r>
      <w:r>
        <w:t xml:space="preserve">, where class sizes can sometimes be larger than ideal, the teacher's ability to maintain individual attention while managing group dynamics is impressive. The use of paraprofessionals and teaching assistants is coordinated efficiently to ensure that all students receive the necessary support.</w:t>
      </w:r>
    </w:p>
    <w:bookmarkEnd w:id="26"/>
    <w:bookmarkStart w:id="29" w:name="collaboration-and-professionalism"/>
    <w:p>
      <w:pPr>
        <w:pStyle w:val="Heading2"/>
      </w:pPr>
      <w:r>
        <w:t xml:space="preserve">5. Collaboration and Professionalism</w:t>
      </w:r>
    </w:p>
    <w:bookmarkStart w:id="27" w:name="interdisciplinary-teamwork"/>
    <w:p>
      <w:pPr>
        <w:pStyle w:val="Heading3"/>
      </w:pPr>
      <w:r>
        <w:t xml:space="preserve">5.1 Interdisciplinary Teamwork</w:t>
      </w:r>
    </w:p>
    <w:p>
      <w:pPr>
        <w:pStyle w:val="FirstParagraph"/>
      </w:pPr>
      <w:r>
        <w:t xml:space="preserve">Special education is inherently collaborative. This</w:t>
      </w:r>
      <w:r>
        <w:t xml:space="preserve"> </w:t>
      </w:r>
      <w:r>
        <w:rPr>
          <w:bCs/>
          <w:b/>
        </w:rPr>
        <w:t xml:space="preserve">Peer Review Report</w:t>
      </w:r>
      <w:r>
        <w:t xml:space="preserve"> </w:t>
      </w:r>
      <w:r>
        <w:t xml:space="preserve">notes that the teacher actively collaborates with speech therapists, occupational therapists, and psychologists within the school. Regular meetings are held to discuss student progress and adjust interventions. This holistic approach ensures that the educational plan is integrated with therapeutic goals.</w:t>
      </w:r>
    </w:p>
    <w:bookmarkEnd w:id="27"/>
    <w:bookmarkStart w:id="28" w:name="parental-engagement"/>
    <w:p>
      <w:pPr>
        <w:pStyle w:val="Heading3"/>
      </w:pPr>
      <w:r>
        <w:t xml:space="preserve">5.2 Parental Engagement</w:t>
      </w:r>
    </w:p>
    <w:p>
      <w:pPr>
        <w:pStyle w:val="FirstParagraph"/>
      </w:pPr>
      <w:r>
        <w:t xml:space="preserve">Engaging parents is crucial, especially in a culturally rich city like Istanbul. The teacher demonstrates strong communication skills when interacting with families. They provide regular updates on student progress and offer guidance on how parents can support learning at home. The teacher is sensitive to cultural nuances and family dynamics, building strong partnerships that benefit the students.</w:t>
      </w:r>
    </w:p>
    <w:bookmarkEnd w:id="28"/>
    <w:bookmarkEnd w:id="29"/>
    <w:bookmarkStart w:id="30" w:name="areas-for-improvement"/>
    <w:p>
      <w:pPr>
        <w:pStyle w:val="Heading2"/>
      </w:pPr>
      <w:r>
        <w:t xml:space="preserve">6. Areas for Improvement</w:t>
      </w:r>
    </w:p>
    <w:p>
      <w:pPr>
        <w:pStyle w:val="FirstParagraph"/>
      </w:pPr>
      <w:r>
        <w:t xml:space="preserve">While the performance of this</w:t>
      </w:r>
      <w:r>
        <w:t xml:space="preserve"> </w:t>
      </w:r>
      <w:r>
        <w:rPr>
          <w:bCs/>
          <w:b/>
        </w:rPr>
        <w:t xml:space="preserve">Special Education Teacher</w:t>
      </w:r>
      <w:r>
        <w:t xml:space="preserve"> </w:t>
      </w:r>
      <w:r>
        <w:t xml:space="preserve">is commendable, this</w:t>
      </w:r>
      <w:r>
        <w:t xml:space="preserve"> </w:t>
      </w:r>
      <w:r>
        <w:rPr>
          <w:bCs/>
          <w:b/>
        </w:rPr>
        <w:t xml:space="preserve">Peer Review Report</w:t>
      </w:r>
      <w:r>
        <w:t xml:space="preserve"> </w:t>
      </w:r>
      <w:r>
        <w:t xml:space="preserve">identifies specific areas for enhancement:</w:t>
      </w:r>
    </w:p>
    <w:p>
      <w:pPr>
        <w:numPr>
          <w:ilvl w:val="0"/>
          <w:numId w:val="1001"/>
        </w:numPr>
        <w:pStyle w:val="Compact"/>
      </w:pPr>
      <w:r>
        <w:rPr>
          <w:bCs/>
          <w:b/>
        </w:rPr>
        <w:t xml:space="preserve">Data Collection:</w:t>
      </w:r>
      <w:r>
        <w:t xml:space="preserve"> </w:t>
      </w:r>
      <w:r>
        <w:t xml:space="preserve">While anecdotal evidence is strong, there is a need for more systematic, quantitative data collection to track student progress over time. Utilizing digital tools for data management could streamline this process.</w:t>
      </w:r>
    </w:p>
    <w:p>
      <w:pPr>
        <w:numPr>
          <w:ilvl w:val="0"/>
          <w:numId w:val="1001"/>
        </w:numPr>
        <w:pStyle w:val="Compact"/>
      </w:pPr>
      <w:r>
        <w:rPr>
          <w:bCs/>
          <w:b/>
        </w:rPr>
        <w:t xml:space="preserve">Documentation:</w:t>
      </w:r>
      <w:r>
        <w:t xml:space="preserve"> </w:t>
      </w:r>
      <w:r>
        <w:t xml:space="preserve">Administrative documentation, particularly regarding incident reports and detailed session notes, requires more timely completion to meet the rigorous standards of the Istanbul Provincial Directorate of National Education.</w:t>
      </w:r>
    </w:p>
    <w:p>
      <w:pPr>
        <w:numPr>
          <w:ilvl w:val="0"/>
          <w:numId w:val="1001"/>
        </w:numPr>
        <w:pStyle w:val="Compact"/>
      </w:pPr>
      <w:r>
        <w:rPr>
          <w:bCs/>
          <w:b/>
        </w:rPr>
        <w:t xml:space="preserve">Professional Development:</w:t>
      </w:r>
      <w:r>
        <w:t xml:space="preserve"> </w:t>
      </w:r>
      <w:r>
        <w:t xml:space="preserve">The teacher is encouraged to pursue further training in emerging assistive technologies and neurodiversity-affirming practices to stay at the forefront of special education trends in Turkey.</w:t>
      </w:r>
    </w:p>
    <w:bookmarkEnd w:id="30"/>
    <w:bookmarkStart w:id="31"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Special Education Teacher</w:t>
      </w:r>
      <w:r>
        <w:t xml:space="preserve"> </w:t>
      </w:r>
      <w:r>
        <w:t xml:space="preserve">under review is a valuable asset to the educational community in</w:t>
      </w:r>
      <w:r>
        <w:t xml:space="preserve"> </w:t>
      </w:r>
      <w:r>
        <w:rPr>
          <w:bCs/>
          <w:b/>
        </w:rPr>
        <w:t xml:space="preserve">Turkey Istanbul</w:t>
      </w:r>
      <w:r>
        <w:t xml:space="preserve">. Their commitment to student success, combined with their ability to adapt to the unique challenges of the local environment, is evident. By addressing the identified areas for improvement, particularly in data-driven instruction and documentation, the teacher can further elevate their practice.</w:t>
      </w:r>
    </w:p>
    <w:p>
      <w:pPr>
        <w:pStyle w:val="BodyText"/>
      </w:pPr>
      <w:r>
        <w:t xml:space="preserve">It is recommended that the teacher continues their current trajectory of excellence while engaging in targeted professional development. The school administration should provide support in the form of resources for data management tools and opportunities for collaborative learning with peers.</w:t>
      </w:r>
    </w:p>
    <w:bookmarkEnd w:id="31"/>
    <w:p>
      <w:pPr>
        <w:pStyle w:val="BodyText"/>
      </w:pPr>
      <w:r>
        <w:rPr>
          <w:bCs/>
          <w:b/>
        </w:rPr>
        <w:t xml:space="preserve">Reviewed By:</w:t>
      </w:r>
    </w:p>
    <w:p>
      <w:pPr>
        <w:pStyle w:val="BodyText"/>
      </w:pPr>
      <w:r>
        <w:t xml:space="preserve">Senior Special Education Specialist</w:t>
      </w:r>
    </w:p>
    <w:p>
      <w:pPr>
        <w:pStyle w:val="BodyText"/>
      </w:pPr>
      <w:r>
        <w:t xml:space="preserve">Istanbul Provincial Directorate of National Education</w:t>
      </w:r>
    </w:p>
    <w:p>
      <w:pPr>
        <w:pStyle w:val="BodyText"/>
      </w:pPr>
      <w:r>
        <w:t xml:space="preserve">Signature</w:t>
      </w:r>
    </w:p>
    <w:p>
      <w:pPr>
        <w:pStyle w:val="BodyText"/>
      </w:pPr>
      <w:r>
        <w:rPr>
          <w:bCs/>
          <w:b/>
        </w:rPr>
        <w:t xml:space="preserve">Reviewed Teacher:</w:t>
      </w:r>
    </w:p>
    <w:p>
      <w:pPr>
        <w:pStyle w:val="BodyText"/>
      </w:pPr>
      <w:r>
        <w:t xml:space="preserve">Special Education Teacher</w:t>
      </w:r>
    </w:p>
    <w:p>
      <w:pPr>
        <w:pStyle w:val="BodyText"/>
      </w:pPr>
      <w:r>
        <w:t xml:space="preserve">[School Name], Istanbul</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Istanbul, Turkey</dc:title>
  <dc:creator/>
  <dc:language>en</dc:language>
  <cp:keywords/>
  <dcterms:created xsi:type="dcterms:W3CDTF">2026-10-10T02:45:05Z</dcterms:created>
  <dcterms:modified xsi:type="dcterms:W3CDTF">2026-10-10T02:45:05Z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