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7" w:name="peer-review-report"/>
    <w:p>
      <w:pPr>
        <w:pStyle w:val="Heading1"/>
      </w:pPr>
      <w:r>
        <w:t xml:space="preserve">Peer Review Report</w:t>
      </w:r>
    </w:p>
    <w:p>
      <w:pPr>
        <w:pStyle w:val="FirstParagraph"/>
      </w:pPr>
      <w:r>
        <w:rPr>
          <w:bCs/>
          <w:b/>
        </w:rPr>
        <w:t xml:space="preserve">Teacher Name:</w:t>
      </w:r>
      <w:r>
        <w:t xml:space="preserve"> </w:t>
      </w:r>
      <w:r>
        <w:t xml:space="preserve">[Insert Name]</w:t>
      </w:r>
      <w:r>
        <w:br/>
      </w:r>
      <w:r>
        <w:rPr>
          <w:bCs/>
          <w:b/>
        </w:rPr>
        <w:t xml:space="preserve">Role:</w:t>
      </w:r>
      <w:r>
        <w:t xml:space="preserve"> </w:t>
      </w:r>
      <w:r>
        <w:t xml:space="preserve">Special Education Teacher</w:t>
      </w:r>
      <w:r>
        <w:br/>
      </w:r>
      <w:r>
        <w:rPr>
          <w:bCs/>
          <w:b/>
        </w:rPr>
        <w:t xml:space="preserve">Location:</w:t>
      </w:r>
      <w:r>
        <w:t xml:space="preserve"> </w:t>
      </w:r>
      <w:r>
        <w:t xml:space="preserve">United Kingdom London</w:t>
      </w:r>
    </w:p>
    <w:p>
      <w:pPr>
        <w:pStyle w:val="BodyText"/>
      </w:pPr>
      <w:r>
        <w:rPr>
          <w:bCs/>
          <w:b/>
        </w:rPr>
        <w:t xml:space="preserve">Reviewer Name:</w:t>
      </w:r>
      <w:r>
        <w:t xml:space="preserve"> </w:t>
      </w:r>
      <w:r>
        <w:t xml:space="preserve">[Insert Name]</w:t>
      </w:r>
      <w:r>
        <w:br/>
      </w:r>
      <w:r>
        <w:rPr>
          <w:bCs/>
          <w:b/>
        </w:rPr>
        <w:t xml:space="preserve">Date of Observation:</w:t>
      </w:r>
      <w:r>
        <w:t xml:space="preserve"> </w:t>
      </w:r>
      <w:r>
        <w:t xml:space="preserve">[Insert Date]</w:t>
      </w:r>
      <w:r>
        <w:br/>
      </w:r>
      <w:r>
        <w:rPr>
          <w:bCs/>
          <w:b/>
        </w:rPr>
        <w:t xml:space="preserve">Academic Year:</w:t>
      </w:r>
      <w:r>
        <w:t xml:space="preserve"> </w:t>
      </w:r>
      <w:r>
        <w:t xml:space="preserve">2023-2024</w:t>
      </w:r>
    </w:p>
    <w:bookmarkStart w:id="20" w:name="introduction-and-context"/>
    <w:p>
      <w:pPr>
        <w:pStyle w:val="Heading2"/>
      </w:pPr>
      <w:r>
        <w:t xml:space="preserve">1. Introduction and Context</w:t>
      </w:r>
    </w:p>
    <w:p>
      <w:pPr>
        <w:pStyle w:val="FirstParagraph"/>
      </w:pPr>
      <w:r>
        <w:t xml:space="preserve">This Peer Review Report has been compiled to evaluate the professional practice of a Special Education Teacher operating within the diverse and demanding educational landscape of United Kingdom London. The review focuses on the teacher's ability to implement inclusive practices, adhere to the statutory requirements of the Special Educational Needs and Disabilities (SEND) Code of Practice, and foster an environment where students with varying needs can thrive.</w:t>
      </w:r>
    </w:p>
    <w:p>
      <w:pPr>
        <w:pStyle w:val="BodyText"/>
      </w:pPr>
      <w:r>
        <w:t xml:space="preserve">The observation took place in a mainstream secondary school setting in London, where the teacher is responsible for supporting students with statements of special educational needs and Education, Health and Care Plans (EHCPs). The review aims to provide constructive feedback aligned with the Teachers' Standards and the specific expectations for SEND provision in the capital.</w:t>
      </w:r>
    </w:p>
    <w:bookmarkEnd w:id="20"/>
    <w:bookmarkStart w:id="21" w:name="planning-and-preparation"/>
    <w:p>
      <w:pPr>
        <w:pStyle w:val="Heading2"/>
      </w:pPr>
      <w:r>
        <w:t xml:space="preserve">2. Planning and Preparation</w:t>
      </w:r>
    </w:p>
    <w:p>
      <w:pPr>
        <w:pStyle w:val="FirstParagraph"/>
      </w:pPr>
      <w:r>
        <w:t xml:space="preserve">The Special Education Teacher demonstrated an exceptional level of preparation. Lesson plans were meticulously tailored to address the individual learning objectives outlined in the students' EHCPs. The teacher effectively utilized the graduated approach (Assess, Plan, Do, Review) to ensure that interventions were targeted and evidence-based.</w:t>
      </w:r>
    </w:p>
    <w:p>
      <w:pPr>
        <w:pStyle w:val="BodyText"/>
      </w:pPr>
      <w:r>
        <w:t xml:space="preserve">Resources were adapted to suit a wide range of abilities, including visual aids, sensory tools, and differentiated worksheets. This is particularly crucial in United Kingdom London, where the student demographic is highly multicultural and multilingual. The teacher showed a clear understanding of how to scaffold learning for students with autism spectrum conditions and specific learning difficulties, ensuring that the curriculum remained accessible without lowering expectations.</w:t>
      </w:r>
    </w:p>
    <w:bookmarkEnd w:id="21"/>
    <w:bookmarkStart w:id="22" w:name="teaching-and-learning-strategies"/>
    <w:p>
      <w:pPr>
        <w:pStyle w:val="Heading2"/>
      </w:pPr>
      <w:r>
        <w:t xml:space="preserve">3. Teaching and Learning Strategies</w:t>
      </w:r>
    </w:p>
    <w:p>
      <w:pPr>
        <w:pStyle w:val="FirstParagraph"/>
      </w:pPr>
      <w:r>
        <w:t xml:space="preserve">During the observed session, the teacher employed a variety of pedagogical strategies that were both engaging and effective. The use of Total Communication approaches was evident, supporting students with speech, language, and communication needs. The teacher maintained a calm and structured environment, which is vital for students who may experience anxiety or sensory overload.</w:t>
      </w:r>
    </w:p>
    <w:p>
      <w:pPr>
        <w:pStyle w:val="BodyText"/>
      </w:pPr>
      <w:r>
        <w:t xml:space="preserve">The teacher successfully managed the classroom dynamics, ensuring that all students, regardless of their support needs, were actively participating. Positive behavior support strategies were implemented consistently, aligning with the school's behavior policy and the broader ethos of inclusion. The teacher's ability to de-escalate potential behavioral issues through proactive and empathetic communication was particularly noteworthy.</w:t>
      </w:r>
    </w:p>
    <w:bookmarkEnd w:id="22"/>
    <w:bookmarkStart w:id="23" w:name="assessment-and-feedback"/>
    <w:p>
      <w:pPr>
        <w:pStyle w:val="Heading2"/>
      </w:pPr>
      <w:r>
        <w:t xml:space="preserve">4. Assessment and Feedback</w:t>
      </w:r>
    </w:p>
    <w:p>
      <w:pPr>
        <w:pStyle w:val="FirstParagraph"/>
      </w:pPr>
      <w:r>
        <w:t xml:space="preserve">Assessment for learning was seamlessly integrated into the lesson. The Special Education Teacher provided immediate, specific, and constructive feedback that helped students understand their progress and areas for improvement. The teacher utilized formative assessment techniques to monitor understanding in real-time, adjusting the pace and content of the lesson as necessary.</w:t>
      </w:r>
    </w:p>
    <w:p>
      <w:pPr>
        <w:pStyle w:val="BodyText"/>
      </w:pPr>
      <w:r>
        <w:t xml:space="preserve">Records of student progress were kept up to date, reflecting the rigorous data management requirements expected in London schools. The teacher demonstrated a clear ability to translate assessment data into actionable insights, ensuring that interventions were regularly reviewed and adapted to meet the evolving needs of the students.</w:t>
      </w:r>
    </w:p>
    <w:bookmarkEnd w:id="23"/>
    <w:bookmarkStart w:id="24" w:name="collaboration-and-professionalism"/>
    <w:p>
      <w:pPr>
        <w:pStyle w:val="Heading2"/>
      </w:pPr>
      <w:r>
        <w:t xml:space="preserve">5. Collaboration and Professionalism</w:t>
      </w:r>
    </w:p>
    <w:p>
      <w:pPr>
        <w:pStyle w:val="FirstParagraph"/>
      </w:pPr>
      <w:r>
        <w:t xml:space="preserve">Collaboration is a cornerstone of effective Special Education provision. The teacher demonstrated strong working relationships with teaching assistants, mainstream teachers, and external specialists such as educational psychologists and speech and language therapists. This multi-agency approach is essential for delivering holistic support to students with complex needs.</w:t>
      </w:r>
    </w:p>
    <w:p>
      <w:pPr>
        <w:pStyle w:val="BodyText"/>
      </w:pPr>
      <w:r>
        <w:t xml:space="preserve">The teacher actively participated in staff meetings and professional development opportunities, staying informed about the latest research and best practices in SEND education. Their commitment to continuous improvement and their willingness to share expertise with colleagues reflect a high level of professionalism and dedication to the field.</w:t>
      </w:r>
    </w:p>
    <w:bookmarkEnd w:id="24"/>
    <w:bookmarkStart w:id="25" w:name="areas-for-development"/>
    <w:p>
      <w:pPr>
        <w:pStyle w:val="Heading2"/>
      </w:pPr>
      <w:r>
        <w:t xml:space="preserve">6. Areas for Development</w:t>
      </w:r>
    </w:p>
    <w:p>
      <w:pPr>
        <w:pStyle w:val="FirstParagraph"/>
      </w:pPr>
      <w:r>
        <w:t xml:space="preserve">While the teacher's practice is largely exemplary, there are a few areas for further development. It is recommended that the teacher explores the integration of assistive technology more extensively to enhance student independence. Additionally, increasing the involvement of parents and carers in the review process could further strengthen the partnership between home and school.</w:t>
      </w:r>
    </w:p>
    <w:bookmarkEnd w:id="25"/>
    <w:bookmarkStart w:id="26" w:name="conclusion"/>
    <w:p>
      <w:pPr>
        <w:pStyle w:val="Heading2"/>
      </w:pPr>
      <w:r>
        <w:t xml:space="preserve">7. Conclusion</w:t>
      </w:r>
    </w:p>
    <w:p>
      <w:pPr>
        <w:pStyle w:val="FirstParagraph"/>
      </w:pPr>
      <w:r>
        <w:t xml:space="preserve">In conclusion, this Special Education Teacher in United Kingdom London demonstrates a high level of competence and dedication. Their practice is firmly grounded in the principles of inclusion, equity, and excellence. The teacher's ability to create a supportive and stimulating learning environment for students with special educational needs is commendable. This Peer Review Report serves as a testament to their professional capability and their significant contribution to the educational community in London.</w:t>
      </w:r>
    </w:p>
    <w:bookmarkEnd w:id="26"/>
    <w:p>
      <w:pPr>
        <w:pStyle w:val="BodyText"/>
      </w:pPr>
      <w:r>
        <w:rPr>
          <w:bCs/>
          <w:b/>
        </w:rPr>
        <w:t xml:space="preserve">Reviewer Signature:</w:t>
      </w:r>
      <w:r>
        <w:br/>
      </w:r>
    </w:p>
    <w:p>
      <w:pPr>
        <w:pStyle w:val="BodyText"/>
      </w:pPr>
      <w:r>
        <w:rPr>
          <w:bCs/>
          <w:b/>
        </w:rPr>
        <w:t xml:space="preserve">Teacher Signature:</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2026-10-10T13:53:39Z</dcterms:created>
  <dcterms:modified xsi:type="dcterms:W3CDTF">2026-10-10T13:53:39Z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