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Tashkent,</w:t>
      </w:r>
      <w:r>
        <w:t xml:space="preserve"> </w:t>
      </w:r>
      <w:r>
        <w:t xml:space="preserve">Uzbekistan</w:t>
      </w:r>
    </w:p>
    <w:bookmarkStart w:id="30" w:name="peer-review-report"/>
    <w:p>
      <w:pPr>
        <w:pStyle w:val="Heading1"/>
      </w:pPr>
      <w:r>
        <w:t xml:space="preserve">Peer Review Report</w:t>
      </w:r>
    </w:p>
    <w:p>
      <w:pPr>
        <w:pStyle w:val="FirstParagraph"/>
      </w:pPr>
      <w:r>
        <w:t xml:space="preserve">Teacher Name:</w:t>
      </w:r>
      <w:r>
        <w:t xml:space="preserve"> </w:t>
      </w:r>
      <w:r>
        <w:t xml:space="preserve">[Insert Teacher Name]</w:t>
      </w:r>
      <w:r>
        <w:br/>
      </w:r>
      <w:r>
        <w:br/>
      </w:r>
      <w:r>
        <w:t xml:space="preserve">Position:</w:t>
      </w:r>
      <w:r>
        <w:t xml:space="preserve"> </w:t>
      </w:r>
      <w:r>
        <w:t xml:space="preserve">Special Education Teacher</w:t>
      </w:r>
      <w:r>
        <w:br/>
      </w:r>
      <w:r>
        <w:br/>
      </w:r>
      <w:r>
        <w:t xml:space="preserve">School/Institution:</w:t>
      </w:r>
      <w:r>
        <w:t xml:space="preserve"> </w:t>
      </w:r>
      <w:r>
        <w:t xml:space="preserve">[Insert School Name], Tashkent</w:t>
      </w:r>
    </w:p>
    <w:p>
      <w:pPr>
        <w:pStyle w:val="BodyText"/>
      </w:pPr>
      <w:r>
        <w:t xml:space="preserve">Reviewer Name:</w:t>
      </w:r>
      <w:r>
        <w:t xml:space="preserve"> </w:t>
      </w:r>
      <w:r>
        <w:t xml:space="preserve">[Insert Reviewer Name]</w:t>
      </w:r>
      <w:r>
        <w:br/>
      </w:r>
      <w:r>
        <w:br/>
      </w:r>
      <w:r>
        <w:t xml:space="preserve">Date of Observation:</w:t>
      </w:r>
      <w:r>
        <w:t xml:space="preserve"> </w:t>
      </w:r>
      <w:r>
        <w:t xml:space="preserve">[Insert Date]</w:t>
      </w:r>
      <w:r>
        <w:br/>
      </w:r>
      <w:r>
        <w:br/>
      </w:r>
      <w:r>
        <w:t xml:space="preserve">Duration:</w:t>
      </w:r>
      <w:r>
        <w:t xml:space="preserve"> </w:t>
      </w:r>
      <w:r>
        <w:t xml:space="preserve">[Insert Duration, e.g., 45 Minutes]</w:t>
      </w:r>
    </w:p>
    <w:bookmarkStart w:id="20" w:name="introduction-and-context"/>
    <w:p>
      <w:pPr>
        <w:pStyle w:val="Heading2"/>
      </w:pPr>
      <w:r>
        <w:t xml:space="preserve">1. Introduction and Context</w:t>
      </w:r>
    </w:p>
    <w:p>
      <w:pPr>
        <w:pStyle w:val="FirstParagraph"/>
      </w:pPr>
      <w:r>
        <w:t xml:space="preserve">This Peer Review Report serves as a formal evaluation of the instructional practices, classroom management, and professional conduct of a Special Education Teacher operating within the educational framework of Tashkent, Uzbekistan. The purpose of this review is to align with the national standards for inclusive education promoted by the Ministry of Public Education of the Republic of Uzbekistan. The review focuses on the teacher's ability to adapt curriculum materials for students with diverse learning needs, including those with intellectual disabilities, autism spectrum disorders, and physical impairments.</w:t>
      </w:r>
    </w:p>
    <w:p>
      <w:pPr>
        <w:pStyle w:val="BodyText"/>
      </w:pPr>
      <w:r>
        <w:t xml:space="preserve">The observation took place in a specialized resource room designed to support students transitioning between mainstream and special education settings. The context of this review is deeply rooted in the current educational reforms in Uzbekistan, which emphasize the importance of individualized learning plans (ILPs) and the holistic development of every child, regardless of their abilities.</w:t>
      </w:r>
    </w:p>
    <w:bookmarkEnd w:id="20"/>
    <w:bookmarkStart w:id="21" w:name="evaluation-criteria-and-rating-scale"/>
    <w:p>
      <w:pPr>
        <w:pStyle w:val="Heading2"/>
      </w:pPr>
      <w:r>
        <w:t xml:space="preserve">2. Evaluation Criteria and Rating Scale</w:t>
      </w:r>
    </w:p>
    <w:p>
      <w:pPr>
        <w:pStyle w:val="FirstParagraph"/>
      </w:pPr>
      <w:r>
        <w:rPr>
          <w:bCs/>
          <w:b/>
        </w:rPr>
        <w:t xml:space="preserve">Rating Scale:</w:t>
      </w:r>
      <w:r>
        <w:br/>
      </w:r>
      <w:r>
        <w:t xml:space="preserve">5 - Exemplary (Exceeds expectations)</w:t>
      </w:r>
      <w:r>
        <w:br/>
      </w:r>
      <w:r>
        <w:t xml:space="preserve">4 - Proficient (Meets expectations)</w:t>
      </w:r>
      <w:r>
        <w:br/>
      </w:r>
      <w:r>
        <w:t xml:space="preserve">3 - Developing (Approaching expectations)</w:t>
      </w:r>
      <w:r>
        <w:br/>
      </w:r>
      <w:r>
        <w:t xml:space="preserve">2 - Unsatisfactory (Below expectations)</w:t>
      </w:r>
      <w:r>
        <w:br/>
      </w:r>
      <w:r>
        <w:t xml:space="preserve">N/A - Not Applicable</w:t>
      </w:r>
    </w:p>
    <w:bookmarkEnd w:id="21"/>
    <w:bookmarkStart w:id="26" w:name="detailed-observation-findings"/>
    <w:p>
      <w:pPr>
        <w:pStyle w:val="Heading2"/>
      </w:pPr>
      <w:r>
        <w:t xml:space="preserve">3. Detailed Observation Findings</w:t>
      </w:r>
    </w:p>
    <w:bookmarkStart w:id="22" w:name="Xd681a53b78a66add5a5dc46368d87bad0deed9f"/>
    <w:p>
      <w:pPr>
        <w:pStyle w:val="Heading3"/>
      </w:pPr>
      <w:r>
        <w:t xml:space="preserve">3.1 Lesson Planning and Curriculum Adaptation</w:t>
      </w:r>
    </w:p>
    <w:p>
      <w:pPr>
        <w:pStyle w:val="FirstParagraph"/>
      </w:pPr>
      <w:r>
        <w:t xml:space="preserve">The Special Education Teacher demonstrated a strong understanding of the Uzbekistan national curriculum while effectively modifying it to suit the specific needs of the students. The lesson plan was clearly structured, with defined objectives that were measurable and realistic for the students' developmental levels.</w:t>
      </w:r>
    </w:p>
    <w:p>
      <w:pPr>
        <w:pStyle w:val="BodyText"/>
      </w:pPr>
      <w:r>
        <w:t xml:space="preserve">A key strength observed was the differentiation of instruction. The teacher utilized multi-sensory teaching methods, incorporating visual aids, tactile materials, and auditory cues. This approach is particularly effective in Tashkent's diverse classroom environments. The teacher successfully integrated local cultural context into the lesson, using examples familiar to Uzbek students, which enhanced engagement and comprehension.</w:t>
      </w:r>
    </w:p>
    <w:bookmarkEnd w:id="22"/>
    <w:bookmarkStart w:id="23" w:name="classroom-management-and-environment"/>
    <w:p>
      <w:pPr>
        <w:pStyle w:val="Heading3"/>
      </w:pPr>
      <w:r>
        <w:t xml:space="preserve">3.2 Classroom Management and Environment</w:t>
      </w:r>
    </w:p>
    <w:p>
      <w:pPr>
        <w:pStyle w:val="FirstParagraph"/>
      </w:pPr>
      <w:r>
        <w:t xml:space="preserve">The classroom environment was organized, safe, and conducive to learning. The layout allowed for easy movement, which is crucial for students with mobility challenges. The teacher established clear routines and expectations, which provided a sense of security for students with anxiety or behavioral challenges.</w:t>
      </w:r>
    </w:p>
    <w:p>
      <w:pPr>
        <w:pStyle w:val="BodyText"/>
      </w:pPr>
      <w:r>
        <w:t xml:space="preserve">Positive reinforcement was used consistently. The teacher praised specific behaviors rather than general performance, which is a best practice in special education. The management of transitions between activities was smooth, minimizing downtime and potential behavioral issues. The teacher maintained a calm and supportive demeanor, effectively de-escalating a minor behavioral incident without disrupting the flow of the lesson.</w:t>
      </w:r>
    </w:p>
    <w:bookmarkEnd w:id="23"/>
    <w:bookmarkStart w:id="24" w:name="Xd2b21e284c478e8da8f8b6aa41a27cd01573145"/>
    <w:p>
      <w:pPr>
        <w:pStyle w:val="Heading3"/>
      </w:pPr>
      <w:r>
        <w:t xml:space="preserve">3.3 Instructional Strategies and Student Engagement</w:t>
      </w:r>
    </w:p>
    <w:p>
      <w:pPr>
        <w:pStyle w:val="FirstParagraph"/>
      </w:pPr>
      <w:r>
        <w:t xml:space="preserve">Instructional strategies were varied and responsive to student needs. The teacher employed scaffolding techniques, breaking down complex tasks into smaller, manageable steps. This was evident during a literacy activity where the teacher guided students through phonetic recognition using both Uzbek and Russian language elements, reflecting the bilingual nature of education in Tashkent.</w:t>
      </w:r>
    </w:p>
    <w:p>
      <w:pPr>
        <w:pStyle w:val="BodyText"/>
      </w:pPr>
      <w:r>
        <w:t xml:space="preserve">Student engagement was high. The teacher actively monitored student understanding through formative assessment techniques, such as questioning and observation. Assistive technology was utilized appropriately, with tablets used for communication by non-verbal students. The teacher ensured that all students, regardless of their disability, were active participants in the learning process.</w:t>
      </w:r>
    </w:p>
    <w:bookmarkEnd w:id="24"/>
    <w:bookmarkStart w:id="25" w:name="collaboration-and-communication"/>
    <w:p>
      <w:pPr>
        <w:pStyle w:val="Heading3"/>
      </w:pPr>
      <w:r>
        <w:t xml:space="preserve">3.4 Collaboration and Communication</w:t>
      </w:r>
    </w:p>
    <w:p>
      <w:pPr>
        <w:pStyle w:val="FirstParagraph"/>
      </w:pPr>
      <w:r>
        <w:t xml:space="preserve">The teacher demonstrated effective collaboration with teaching assistants and support staff. Clear communication was observed regarding student roles and responsibilities during the lesson. Furthermore, the teacher maintained open lines of communication with parents, as evidenced by the updated progress logs and the willingness to discuss student development. This aligns with the Uzbekistan Ministry of Public Education's emphasis on family-school partnerships.</w:t>
      </w:r>
    </w:p>
    <w:bookmarkEnd w:id="25"/>
    <w:bookmarkEnd w:id="26"/>
    <w:bookmarkStart w:id="27" w:name="summary-of-ratings"/>
    <w:p>
      <w:pPr>
        <w:pStyle w:val="Heading2"/>
      </w:pPr>
      <w:r>
        <w:t xml:space="preserve">4. Summary of Ratings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Criteria</w:t>
            </w:r>
          </w:p>
        </w:tc>
        <w:tc>
          <w:tcPr/>
          <w:p>
            <w:pPr>
              <w:pStyle w:val="Compact"/>
              <w:jc w:val="left"/>
            </w:pPr>
            <w:r>
              <w:t xml:space="preserve">Rating (1-5)</w:t>
            </w:r>
          </w:p>
        </w:tc>
        <w:tc>
          <w:tcPr/>
          <w:p>
            <w:pPr>
              <w:pStyle w:val="Compact"/>
              <w:jc w:val="left"/>
            </w:pPr>
            <w:r>
              <w:t xml:space="preserve">Comments</w:t>
            </w:r>
          </w:p>
        </w:tc>
      </w:tr>
      <w:tr>
        <w:tc>
          <w:tcPr/>
          <w:p>
            <w:pPr>
              <w:pStyle w:val="Compact"/>
              <w:jc w:val="left"/>
            </w:pPr>
            <w:r>
              <w:t xml:space="preserve">Lesson Planning &amp; Adaptation</w:t>
            </w:r>
          </w:p>
        </w:tc>
        <w:tc>
          <w:tcPr/>
          <w:p>
            <w:pPr>
              <w:pStyle w:val="Compact"/>
              <w:jc w:val="left"/>
            </w:pPr>
            <w:r>
              <w:t xml:space="preserve">5</w:t>
            </w:r>
          </w:p>
        </w:tc>
        <w:tc>
          <w:tcPr/>
          <w:p>
            <w:pPr>
              <w:pStyle w:val="Compact"/>
              <w:jc w:val="left"/>
            </w:pPr>
            <w:r>
              <w:t xml:space="preserve">Excellent differentiation and alignment with national standards.</w:t>
            </w:r>
          </w:p>
        </w:tc>
      </w:tr>
      <w:tr>
        <w:tc>
          <w:tcPr/>
          <w:p>
            <w:pPr>
              <w:pStyle w:val="Compact"/>
              <w:jc w:val="left"/>
            </w:pPr>
            <w:r>
              <w:t xml:space="preserve">Classroom Management</w:t>
            </w:r>
          </w:p>
        </w:tc>
        <w:tc>
          <w:tcPr/>
          <w:p>
            <w:pPr>
              <w:pStyle w:val="Compact"/>
              <w:jc w:val="left"/>
            </w:pPr>
            <w:r>
              <w:t xml:space="preserve">4</w:t>
            </w:r>
          </w:p>
        </w:tc>
        <w:tc>
          <w:tcPr/>
          <w:p>
            <w:pPr>
              <w:pStyle w:val="Compact"/>
              <w:jc w:val="left"/>
            </w:pPr>
            <w:r>
              <w:t xml:space="preserve">Strong routines; minor improvements needed in transition timing.</w:t>
            </w:r>
          </w:p>
        </w:tc>
      </w:tr>
      <w:tr>
        <w:tc>
          <w:tcPr/>
          <w:p>
            <w:pPr>
              <w:pStyle w:val="Compact"/>
              <w:jc w:val="left"/>
            </w:pPr>
            <w:r>
              <w:t xml:space="preserve">Instructional Strategies</w:t>
            </w:r>
          </w:p>
        </w:tc>
        <w:tc>
          <w:tcPr/>
          <w:p>
            <w:pPr>
              <w:pStyle w:val="Compact"/>
              <w:jc w:val="left"/>
            </w:pPr>
            <w:r>
              <w:t xml:space="preserve">5</w:t>
            </w:r>
          </w:p>
        </w:tc>
        <w:tc>
          <w:tcPr/>
          <w:p>
            <w:pPr>
              <w:pStyle w:val="Compact"/>
              <w:jc w:val="left"/>
            </w:pPr>
            <w:r>
              <w:t xml:space="preserve">Highly effective use of multi-sensory and assistive technologies.</w:t>
            </w:r>
          </w:p>
        </w:tc>
      </w:tr>
      <w:tr>
        <w:tc>
          <w:tcPr/>
          <w:p>
            <w:pPr>
              <w:pStyle w:val="Compact"/>
              <w:jc w:val="left"/>
            </w:pPr>
            <w:r>
              <w:t xml:space="preserve">Student Engagement</w:t>
            </w:r>
          </w:p>
        </w:tc>
        <w:tc>
          <w:tcPr/>
          <w:p>
            <w:pPr>
              <w:pStyle w:val="Compact"/>
              <w:jc w:val="left"/>
            </w:pPr>
            <w:r>
              <w:t xml:space="preserve">4</w:t>
            </w:r>
          </w:p>
        </w:tc>
        <w:tc>
          <w:tcPr/>
          <w:p>
            <w:pPr>
              <w:pStyle w:val="Compact"/>
              <w:jc w:val="left"/>
            </w:pPr>
            <w:r>
              <w:t xml:space="preserve">Most students engaged; one student required more individual prompting.</w:t>
            </w:r>
          </w:p>
        </w:tc>
      </w:tr>
      <w:tr>
        <w:tc>
          <w:tcPr/>
          <w:p>
            <w:pPr>
              <w:pStyle w:val="Compact"/>
              <w:jc w:val="left"/>
            </w:pPr>
            <w:r>
              <w:t xml:space="preserve">Collaboration &amp; Communication</w:t>
            </w:r>
          </w:p>
        </w:tc>
        <w:tc>
          <w:tcPr/>
          <w:p>
            <w:pPr>
              <w:pStyle w:val="Compact"/>
              <w:jc w:val="left"/>
            </w:pPr>
            <w:r>
              <w:t xml:space="preserve">5</w:t>
            </w:r>
          </w:p>
        </w:tc>
        <w:tc>
          <w:tcPr/>
          <w:p>
            <w:pPr>
              <w:pStyle w:val="Compact"/>
              <w:jc w:val="left"/>
            </w:pPr>
            <w:r>
              <w:t xml:space="preserve">Outstanding teamwork with support staff and parents.</w:t>
            </w:r>
          </w:p>
        </w:tc>
      </w:tr>
    </w:tbl>
    <w:bookmarkEnd w:id="27"/>
    <w:bookmarkStart w:id="28" w:name="areas-for-professional-growth"/>
    <w:p>
      <w:pPr>
        <w:pStyle w:val="Heading2"/>
      </w:pPr>
      <w:r>
        <w:t xml:space="preserve">5. Areas for Professional Growth</w:t>
      </w:r>
    </w:p>
    <w:p>
      <w:pPr>
        <w:pStyle w:val="FirstParagraph"/>
      </w:pPr>
      <w:r>
        <w:t xml:space="preserve">While the performance of this Special Education Teacher is commendable, there are areas for continued professional development. It is recommended that the teacher explore advanced training in behavioral intervention strategies, specifically Positive Behavior Support (PBS), which is gaining traction in Uzbekistan's special education sector. Additionally, further integration of digital learning platforms could enhance the learning experience for students with higher cognitive abilities.</w:t>
      </w:r>
    </w:p>
    <w:p>
      <w:pPr>
        <w:pStyle w:val="BodyText"/>
      </w:pPr>
      <w:r>
        <w:t xml:space="preserve">The teacher is encouraged to participate in peer learning communities within Tashkent to share best practices and stay updated on the latest inclusive education policies.</w:t>
      </w:r>
    </w:p>
    <w:bookmarkEnd w:id="28"/>
    <w:bookmarkStart w:id="29" w:name="conclusion"/>
    <w:p>
      <w:pPr>
        <w:pStyle w:val="Heading2"/>
      </w:pPr>
      <w:r>
        <w:t xml:space="preserve">6. Conclusion</w:t>
      </w:r>
    </w:p>
    <w:p>
      <w:pPr>
        <w:pStyle w:val="FirstParagraph"/>
      </w:pPr>
      <w:r>
        <w:t xml:space="preserve">This Peer Review Report confirms that the Special Education Teacher is performing at a high level of professionalism and competence. The teacher's dedication to the inclusive education principles of Uzbekistan is evident in their daily practice. The classroom is a supportive environment where students with special needs are empowered to learn and grow. Continued support and professional development opportunities will further enhance the teacher's impact on student outcomes in Tashkent.</w:t>
      </w:r>
    </w:p>
    <w:p>
      <w:pPr>
        <w:pStyle w:val="BodyText"/>
      </w:pPr>
      <w:r>
        <w:rPr>
          <w:bCs/>
          <w:b/>
        </w:rPr>
        <w:t xml:space="preserve">Reviewer Signature:</w:t>
      </w:r>
      <w:r>
        <w:br/>
      </w:r>
      <w:r>
        <w:br/>
      </w:r>
      <w:r>
        <w:t xml:space="preserve">__________________________</w:t>
      </w:r>
      <w:r>
        <w:br/>
      </w:r>
      <w:r>
        <w:t xml:space="preserve">[Insert Reviewer Name]</w:t>
      </w:r>
    </w:p>
    <w:p>
      <w:pPr>
        <w:pStyle w:val="BodyText"/>
      </w:pPr>
      <w:r>
        <w:rPr>
          <w:bCs/>
          <w:b/>
        </w:rPr>
        <w:t xml:space="preserve">Teacher Signature:</w:t>
      </w:r>
      <w:r>
        <w:br/>
      </w:r>
      <w:r>
        <w:br/>
      </w:r>
      <w:r>
        <w:t xml:space="preserve">__________________________</w:t>
      </w:r>
      <w:r>
        <w:br/>
      </w:r>
      <w:r>
        <w:t xml:space="preserve">[Insert Teacher Name]</w:t>
      </w:r>
    </w:p>
    <w:p>
      <w:pPr>
        <w:pStyle w:val="BodyText"/>
      </w:pPr>
      <w:r>
        <w:t xml:space="preserve">Document generated for internal use within the educational institution. Confidential.</w:t>
      </w:r>
    </w:p>
    <w:p>
      <w:pPr>
        <w:pStyle w:val="BodyText"/>
      </w:pPr>
      <w:r>
        <w:t xml:space="preserve">Aligned with the Standards of the Ministry of Public Education of the Republic of Uzbekistan.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Special Education Teacher - Tashkent, Uzbekistan</dc:title>
  <dc:creator/>
  <dc:language>en</dc:language>
  <cp:keywords/>
  <dcterms:created xsi:type="dcterms:W3CDTF">2026-10-10T08:14:59Z</dcterms:created>
  <dcterms:modified xsi:type="dcterms:W3CDTF">2026-10-10T08:14:59Z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