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Riyadh,</w:t>
      </w:r>
      <w:r>
        <w:t xml:space="preserve"> </w:t>
      </w:r>
      <w:r>
        <w:t xml:space="preserve">Saudi</w:t>
      </w:r>
      <w:r>
        <w:t xml:space="preserve"> </w:t>
      </w:r>
      <w:r>
        <w:t xml:space="preserve">Arabia</w:t>
      </w:r>
    </w:p>
    <w:bookmarkStart w:id="20" w:name="peer-review-report"/>
    <w:p>
      <w:pPr>
        <w:pStyle w:val="Heading1"/>
      </w:pPr>
      <w:r>
        <w:t xml:space="preserve">Peer Review Report</w:t>
      </w:r>
    </w:p>
    <w:p>
      <w:pPr>
        <w:pStyle w:val="FirstParagraph"/>
      </w:pPr>
      <w:r>
        <w:t xml:space="preserve">Clinical Competency Assessment for Speech-Language Pathology Services</w:t>
      </w:r>
    </w:p>
    <w:p>
      <w:pPr>
        <w:pStyle w:val="BodyText"/>
      </w:pPr>
      <w:r>
        <w:t xml:space="preserve">Compliant with Saudi Commission for Health Specialties (SCFHS) Standards</w:t>
      </w:r>
    </w:p>
    <w:bookmarkEnd w:id="20"/>
    <w:p>
      <w:pPr>
        <w:pStyle w:val="BodyText"/>
      </w:pPr>
      <w:r>
        <w:rPr>
          <w:bCs/>
          <w:b/>
        </w:rPr>
        <w:t xml:space="preserve">Review Date:</w:t>
      </w:r>
      <w:r>
        <w:t xml:space="preserve"> </w:t>
      </w:r>
      <w:r>
        <w:t xml:space="preserve">October 24, 2023</w:t>
      </w:r>
    </w:p>
    <w:p>
      <w:pPr>
        <w:pStyle w:val="BodyText"/>
      </w:pPr>
      <w:r>
        <w:rPr>
          <w:bCs/>
          <w:b/>
        </w:rPr>
        <w:t xml:space="preserve">Location:</w:t>
      </w:r>
      <w:r>
        <w:t xml:space="preserve"> </w:t>
      </w:r>
      <w:r>
        <w:t xml:space="preserve">Riyadh, Saudi Arabia</w:t>
      </w:r>
    </w:p>
    <w:p>
      <w:pPr>
        <w:pStyle w:val="BodyText"/>
      </w:pPr>
      <w:r>
        <w:rPr>
          <w:bCs/>
          <w:b/>
        </w:rPr>
        <w:t xml:space="preserve">Reviewee Name:</w:t>
      </w:r>
      <w:r>
        <w:t xml:space="preserve"> </w:t>
      </w:r>
      <w:r>
        <w:t xml:space="preserve">[Speech Therapist Name]</w:t>
      </w:r>
    </w:p>
    <w:p>
      <w:pPr>
        <w:pStyle w:val="BodyText"/>
      </w:pPr>
      <w:r>
        <w:rPr>
          <w:bCs/>
          <w:b/>
        </w:rPr>
        <w:t xml:space="preserve">License Number:</w:t>
      </w:r>
      <w:r>
        <w:t xml:space="preserve"> </w:t>
      </w:r>
      <w:r>
        <w:t xml:space="preserve">[SCFHS License ID]</w:t>
      </w:r>
    </w:p>
    <w:p>
      <w:pPr>
        <w:pStyle w:val="BodyText"/>
      </w:pPr>
      <w:r>
        <w:rPr>
          <w:bCs/>
          <w:b/>
        </w:rPr>
        <w:t xml:space="preserve">Reviewer Name:</w:t>
      </w:r>
      <w:r>
        <w:t xml:space="preserve"> </w:t>
      </w:r>
      <w:r>
        <w:t xml:space="preserve">[Senior Clinical Lead Name]</w:t>
      </w:r>
    </w:p>
    <w:p>
      <w:pPr>
        <w:pStyle w:val="BodyText"/>
      </w:pPr>
      <w:r>
        <w:rPr>
          <w:bCs/>
          <w:b/>
        </w:rPr>
        <w:t xml:space="preserve">Department:</w:t>
      </w:r>
      <w:r>
        <w:t xml:space="preserve"> </w:t>
      </w:r>
      <w:r>
        <w:t xml:space="preserve">Rehabilitation &amp; Speech Therapy</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documents the comprehensive clinical evaluation of a</w:t>
      </w:r>
      <w:r>
        <w:t xml:space="preserve"> </w:t>
      </w:r>
      <w:r>
        <w:rPr>
          <w:bCs/>
          <w:b/>
        </w:rPr>
        <w:t xml:space="preserve">Speech Therapist</w:t>
      </w:r>
      <w:r>
        <w:t xml:space="preserve"> </w:t>
      </w:r>
      <w:r>
        <w:t xml:space="preserve">practicing within the healthcare infrastructure of</w:t>
      </w:r>
      <w:r>
        <w:t xml:space="preserve"> </w:t>
      </w:r>
      <w:r>
        <w:rPr>
          <w:bCs/>
          <w:b/>
        </w:rPr>
        <w:t xml:space="preserve">Saudi Arabia Riyadh</w:t>
      </w:r>
      <w:r>
        <w:t xml:space="preserve">. The purpose of this review is to ensure adherence to the clinical guidelines established by the Ministry of Health (MOH) and the Saudi Commission for Health Specialties (SCFHS). The assessment focuses on the therapist's ability to diagnose, treat, and manage speech, language, swallowing, and cognitive-communication disorders while maintaining cultural sensitivity and professional ethics specific to the Riyadh region.</w:t>
      </w:r>
    </w:p>
    <w:bookmarkEnd w:id="21"/>
    <w:bookmarkStart w:id="22" w:name="clinical-competency-assessment"/>
    <w:p>
      <w:pPr>
        <w:pStyle w:val="Heading2"/>
      </w:pPr>
      <w:r>
        <w:t xml:space="preserve">2. Clinical Competency Assessment</w:t>
      </w:r>
    </w:p>
    <w:p>
      <w:pPr>
        <w:pStyle w:val="FirstParagraph"/>
      </w:pPr>
      <w:r>
        <w:t xml:space="preserve">The following criteria were evaluated based on direct observation of patient interactions, case file audits, and standardized testing protocols. The</w:t>
      </w:r>
      <w:r>
        <w:t xml:space="preserve"> </w:t>
      </w:r>
      <w:r>
        <w:rPr>
          <w:bCs/>
          <w:b/>
        </w:rPr>
        <w:t xml:space="preserve">Speech Therapist</w:t>
      </w:r>
      <w:r>
        <w:t xml:space="preserve"> </w:t>
      </w:r>
      <w:r>
        <w:t xml:space="preserve">was assessed on their technical proficiency and clinical reasoning.</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Competency Domain</w:t>
            </w:r>
          </w:p>
        </w:tc>
        <w:tc>
          <w:tcPr/>
          <w:p>
            <w:pPr>
              <w:pStyle w:val="Compact"/>
              <w:jc w:val="left"/>
            </w:pPr>
            <w:r>
              <w:t xml:space="preserve">Criteria Description</w:t>
            </w:r>
          </w:p>
        </w:tc>
        <w:tc>
          <w:tcPr/>
          <w:p>
            <w:pPr>
              <w:pStyle w:val="Compact"/>
              <w:jc w:val="left"/>
            </w:pPr>
            <w:r>
              <w:t xml:space="preserve">Score (1-5)</w:t>
            </w:r>
          </w:p>
        </w:tc>
        <w:tc>
          <w:tcPr/>
          <w:p>
            <w:pPr>
              <w:pStyle w:val="Compact"/>
              <w:jc w:val="left"/>
            </w:pPr>
            <w:r>
              <w:t xml:space="preserve">Rating</w:t>
            </w:r>
          </w:p>
        </w:tc>
      </w:tr>
      <w:tr>
        <w:tc>
          <w:tcPr/>
          <w:p>
            <w:pPr>
              <w:pStyle w:val="Compact"/>
              <w:jc w:val="left"/>
            </w:pPr>
            <w:r>
              <w:rPr>
                <w:bCs/>
                <w:b/>
              </w:rPr>
              <w:t xml:space="preserve">Assessment &amp; Diagnosis</w:t>
            </w:r>
          </w:p>
        </w:tc>
        <w:tc>
          <w:tcPr/>
          <w:p>
            <w:pPr>
              <w:pStyle w:val="Compact"/>
              <w:jc w:val="left"/>
            </w:pPr>
            <w:r>
              <w:t xml:space="preserve">Accuracy in administering standardized tools (e.g., CELF, PLS) and adapting them for Arabic-speaking populations in Riyadh.</w:t>
            </w:r>
          </w:p>
        </w:tc>
        <w:tc>
          <w:tcPr/>
          <w:p>
            <w:pPr>
              <w:pStyle w:val="Compact"/>
              <w:jc w:val="left"/>
            </w:pPr>
            <w:r>
              <w:t xml:space="preserve">5</w:t>
            </w:r>
          </w:p>
        </w:tc>
        <w:tc>
          <w:tcPr/>
          <w:p>
            <w:pPr>
              <w:pStyle w:val="Compact"/>
              <w:jc w:val="left"/>
            </w:pPr>
            <w:r>
              <w:t xml:space="preserve">Excellent</w:t>
            </w:r>
          </w:p>
        </w:tc>
      </w:tr>
      <w:tr>
        <w:tc>
          <w:tcPr/>
          <w:p>
            <w:pPr>
              <w:pStyle w:val="Compact"/>
              <w:jc w:val="left"/>
            </w:pPr>
            <w:r>
              <w:rPr>
                <w:bCs/>
                <w:b/>
              </w:rPr>
              <w:t xml:space="preserve">Treatment Planning</w:t>
            </w:r>
          </w:p>
        </w:tc>
        <w:tc>
          <w:tcPr/>
          <w:p>
            <w:pPr>
              <w:pStyle w:val="Compact"/>
              <w:jc w:val="left"/>
            </w:pPr>
            <w:r>
              <w:t xml:space="preserve">Development of individualized therapy plans (ITP) aligned with patient goals and SCFHS guidelines.</w:t>
            </w:r>
          </w:p>
        </w:tc>
        <w:tc>
          <w:tcPr/>
          <w:p>
            <w:pPr>
              <w:pStyle w:val="Compact"/>
              <w:jc w:val="left"/>
            </w:pPr>
            <w:r>
              <w:t xml:space="preserve">4</w:t>
            </w:r>
          </w:p>
        </w:tc>
        <w:tc>
          <w:tcPr/>
          <w:p>
            <w:pPr>
              <w:pStyle w:val="Compact"/>
              <w:jc w:val="left"/>
            </w:pPr>
            <w:r>
              <w:t xml:space="preserve">Satisfactory</w:t>
            </w:r>
          </w:p>
        </w:tc>
      </w:tr>
      <w:tr>
        <w:tc>
          <w:tcPr/>
          <w:p>
            <w:pPr>
              <w:pStyle w:val="Compact"/>
              <w:jc w:val="left"/>
            </w:pPr>
            <w:r>
              <w:rPr>
                <w:bCs/>
                <w:b/>
              </w:rPr>
              <w:t xml:space="preserve">Clinical Intervention</w:t>
            </w:r>
          </w:p>
        </w:tc>
        <w:tc>
          <w:tcPr/>
          <w:p>
            <w:pPr>
              <w:pStyle w:val="Compact"/>
              <w:jc w:val="left"/>
            </w:pPr>
            <w:r>
              <w:t xml:space="preserve">Effectiveness of therapeutic techniques for articulation, fluency, voice, and dysphagia management.</w:t>
            </w:r>
          </w:p>
        </w:tc>
        <w:tc>
          <w:tcPr/>
          <w:p>
            <w:pPr>
              <w:pStyle w:val="Compact"/>
              <w:jc w:val="left"/>
            </w:pPr>
            <w:r>
              <w:t xml:space="preserve">5</w:t>
            </w:r>
          </w:p>
        </w:tc>
        <w:tc>
          <w:tcPr/>
          <w:p>
            <w:pPr>
              <w:pStyle w:val="Compact"/>
              <w:jc w:val="left"/>
            </w:pPr>
            <w:r>
              <w:t xml:space="preserve">Excellent</w:t>
            </w:r>
          </w:p>
        </w:tc>
      </w:tr>
      <w:tr>
        <w:tc>
          <w:tcPr/>
          <w:p>
            <w:pPr>
              <w:pStyle w:val="Compact"/>
              <w:jc w:val="left"/>
            </w:pPr>
            <w:r>
              <w:rPr>
                <w:bCs/>
                <w:b/>
              </w:rPr>
              <w:t xml:space="preserve">Cultural Competence</w:t>
            </w:r>
          </w:p>
        </w:tc>
        <w:tc>
          <w:tcPr/>
          <w:p>
            <w:pPr>
              <w:pStyle w:val="Compact"/>
              <w:jc w:val="left"/>
            </w:pPr>
            <w:r>
              <w:t xml:space="preserve">Adaptation of therapy materials to respect Saudi cultural norms and family dynamics.</w:t>
            </w:r>
          </w:p>
        </w:tc>
        <w:tc>
          <w:tcPr/>
          <w:p>
            <w:pPr>
              <w:pStyle w:val="Compact"/>
              <w:jc w:val="left"/>
            </w:pPr>
            <w:r>
              <w:t xml:space="preserve">5</w:t>
            </w:r>
          </w:p>
        </w:tc>
        <w:tc>
          <w:tcPr/>
          <w:p>
            <w:pPr>
              <w:pStyle w:val="Compact"/>
              <w:jc w:val="left"/>
            </w:pPr>
            <w:r>
              <w:t xml:space="preserve">Excellent</w:t>
            </w:r>
          </w:p>
        </w:tc>
      </w:tr>
      <w:tr>
        <w:tc>
          <w:tcPr/>
          <w:p>
            <w:pPr>
              <w:pStyle w:val="Compact"/>
              <w:jc w:val="left"/>
            </w:pPr>
            <w:r>
              <w:rPr>
                <w:bCs/>
                <w:b/>
              </w:rPr>
              <w:t xml:space="preserve">Documentation</w:t>
            </w:r>
          </w:p>
        </w:tc>
        <w:tc>
          <w:tcPr/>
          <w:p>
            <w:pPr>
              <w:pStyle w:val="Compact"/>
              <w:jc w:val="left"/>
            </w:pPr>
            <w:r>
              <w:t xml:space="preserve">Clarity, timeliness, and accuracy of electronic health records (EHR) in compliance with hospital policy.</w:t>
            </w:r>
          </w:p>
        </w:tc>
        <w:tc>
          <w:tcPr/>
          <w:p>
            <w:pPr>
              <w:pStyle w:val="Compact"/>
              <w:jc w:val="left"/>
            </w:pPr>
            <w:r>
              <w:t xml:space="preserve">4</w:t>
            </w:r>
          </w:p>
        </w:tc>
        <w:tc>
          <w:tcPr/>
          <w:p>
            <w:pPr>
              <w:pStyle w:val="Compact"/>
              <w:jc w:val="left"/>
            </w:pPr>
            <w:r>
              <w:t xml:space="preserve">Satisfactory</w:t>
            </w:r>
          </w:p>
        </w:tc>
      </w:tr>
    </w:tbl>
    <w:bookmarkEnd w:id="22"/>
    <w:bookmarkStart w:id="26" w:name="detailed-observations"/>
    <w:p>
      <w:pPr>
        <w:pStyle w:val="Heading2"/>
      </w:pPr>
      <w:r>
        <w:t xml:space="preserve">3. Detailed Observations</w:t>
      </w:r>
    </w:p>
    <w:bookmarkStart w:id="23" w:name="assessment-and-diagnostic-accuracy"/>
    <w:p>
      <w:pPr>
        <w:pStyle w:val="Heading3"/>
      </w:pPr>
      <w:r>
        <w:t xml:space="preserve">3.1 Assessment and Diagnostic Accuracy</w:t>
      </w:r>
    </w:p>
    <w:p>
      <w:pPr>
        <w:pStyle w:val="FirstParagraph"/>
      </w:pPr>
      <w:r>
        <w:t xml:space="preserve">The</w:t>
      </w:r>
      <w:r>
        <w:t xml:space="preserve"> </w:t>
      </w:r>
      <w:r>
        <w:rPr>
          <w:bCs/>
          <w:b/>
        </w:rPr>
        <w:t xml:space="preserve">Speech Therapist</w:t>
      </w:r>
      <w:r>
        <w:t xml:space="preserve"> </w:t>
      </w:r>
      <w:r>
        <w:t xml:space="preserve">demonstrated a high level of proficiency in conducting comprehensive assessments. A critical aspect of this review in</w:t>
      </w:r>
      <w:r>
        <w:t xml:space="preserve"> </w:t>
      </w:r>
      <w:r>
        <w:rPr>
          <w:bCs/>
          <w:b/>
        </w:rPr>
        <w:t xml:space="preserve">Saudi Arabia Riyadh</w:t>
      </w:r>
      <w:r>
        <w:t xml:space="preserve"> </w:t>
      </w:r>
      <w:r>
        <w:t xml:space="preserve">is the ability to differentiate between language disorders and dialectal variations in Arabic. The therapist successfully utilized both standardized Western instruments and culturally adapted Arabic assessments. The diagnostic conclusions were well-supported by data, ensuring that referrals to other specialists (such as audiologists or neurologists) were made appropriately when red flags were identified.</w:t>
      </w:r>
    </w:p>
    <w:bookmarkEnd w:id="23"/>
    <w:bookmarkStart w:id="24" w:name="X575cbb43b024efc7a7eca05904614e1ed2c3a11"/>
    <w:p>
      <w:pPr>
        <w:pStyle w:val="Heading3"/>
      </w:pPr>
      <w:r>
        <w:t xml:space="preserve">3.2 Therapeutic Intervention and Patient Care</w:t>
      </w:r>
    </w:p>
    <w:p>
      <w:pPr>
        <w:pStyle w:val="FirstParagraph"/>
      </w:pPr>
      <w:r>
        <w:t xml:space="preserve">During observed sessions, the therapist employed evidence-based practices for treating conditions such as childhood apraxia of speech, autism spectrum disorder (ASD) communication deficits, and adult dysphagia. The therapist showed particular strength in engaging pediatric patients, utilizing play-based therapy techniques that are effective in the local context. Furthermore, the management of dysphagia cases adhered strictly to safety protocols, minimizing aspiration risks, which is a key performance indicator for rehabilitation units in Riyadh hospitals.</w:t>
      </w:r>
    </w:p>
    <w:bookmarkEnd w:id="24"/>
    <w:bookmarkStart w:id="25" w:name="Xe478ed7cd270b63996e5f717cd77014048e9043"/>
    <w:p>
      <w:pPr>
        <w:pStyle w:val="Heading3"/>
      </w:pPr>
      <w:r>
        <w:t xml:space="preserve">3.3 Cultural Sensitivity and Family Engagement</w:t>
      </w:r>
    </w:p>
    <w:p>
      <w:pPr>
        <w:pStyle w:val="FirstParagraph"/>
      </w:pPr>
      <w:r>
        <w:t xml:space="preserve">In the context of</w:t>
      </w:r>
      <w:r>
        <w:t xml:space="preserve"> </w:t>
      </w:r>
      <w:r>
        <w:rPr>
          <w:bCs/>
          <w:b/>
        </w:rPr>
        <w:t xml:space="preserve">Saudi Arabia Riyadh</w:t>
      </w:r>
      <w:r>
        <w:t xml:space="preserve">, family involvement is paramount in the rehabilitation process. This</w:t>
      </w:r>
      <w:r>
        <w:t xml:space="preserve"> </w:t>
      </w:r>
      <w:r>
        <w:rPr>
          <w:bCs/>
          <w:b/>
        </w:rPr>
        <w:t xml:space="preserve">Speech Therapist</w:t>
      </w:r>
      <w:r>
        <w:t xml:space="preserve"> </w:t>
      </w:r>
      <w:r>
        <w:t xml:space="preserve">excelled in educating parents and caregivers, providing them with home-program strategies that respected local family structures. The therapist maintained appropriate professional boundaries while fostering a supportive environment. Communication was clear, and the therapist effectively navigated gender-segregation norms where applicable, ensuring comfort for all patients and families.</w:t>
      </w:r>
    </w:p>
    <w:bookmarkEnd w:id="25"/>
    <w:bookmarkEnd w:id="26"/>
    <w:bookmarkStart w:id="27" w:name="areas-for-improvement"/>
    <w:p>
      <w:pPr>
        <w:pStyle w:val="Heading2"/>
      </w:pPr>
      <w:r>
        <w:t xml:space="preserve">4. Areas for Improvement</w:t>
      </w:r>
    </w:p>
    <w:p>
      <w:pPr>
        <w:pStyle w:val="FirstParagraph"/>
      </w:pPr>
      <w:r>
        <w:t xml:space="preserve">While the overall performance is commendable, the following areas require attention to achieve full excellence:</w:t>
      </w:r>
    </w:p>
    <w:p>
      <w:pPr>
        <w:numPr>
          <w:ilvl w:val="0"/>
          <w:numId w:val="1001"/>
        </w:numPr>
        <w:pStyle w:val="Compact"/>
      </w:pPr>
      <w:r>
        <w:rPr>
          <w:bCs/>
          <w:b/>
        </w:rPr>
        <w:t xml:space="preserve">Documentation Detail:</w:t>
      </w:r>
      <w:r>
        <w:t xml:space="preserve"> </w:t>
      </w:r>
      <w:r>
        <w:t xml:space="preserve">While timely, some progress notes lacked specific quantitative data regarding patient improvement. Future notes should include more measurable outcomes to better track long-term progress.</w:t>
      </w:r>
    </w:p>
    <w:p>
      <w:pPr>
        <w:numPr>
          <w:ilvl w:val="0"/>
          <w:numId w:val="1001"/>
        </w:numPr>
        <w:pStyle w:val="Compact"/>
      </w:pPr>
      <w:r>
        <w:rPr>
          <w:bCs/>
          <w:b/>
        </w:rPr>
        <w:t xml:space="preserve">Interdisciplinary Collaboration:</w:t>
      </w:r>
      <w:r>
        <w:t xml:space="preserve"> </w:t>
      </w:r>
      <w:r>
        <w:t xml:space="preserve">The therapist should increase active participation in multidisciplinary team meetings to better align speech therapy goals with occupational and physical therapy interventions.</w:t>
      </w:r>
    </w:p>
    <w:bookmarkEnd w:id="27"/>
    <w:bookmarkStart w:id="28" w:name="conclusion-and-recommendation"/>
    <w:p>
      <w:pPr>
        <w:pStyle w:val="Heading2"/>
      </w:pPr>
      <w:r>
        <w:t xml:space="preserve">5. Conclusion and Recommendation</w:t>
      </w:r>
    </w:p>
    <w:p>
      <w:pPr>
        <w:pStyle w:val="FirstParagraph"/>
      </w:pPr>
      <w:r>
        <w:t xml:space="preserve">Based on the findings of this</w:t>
      </w:r>
      <w:r>
        <w:t xml:space="preserve"> </w:t>
      </w:r>
      <w:r>
        <w:rPr>
          <w:bCs/>
          <w:b/>
        </w:rPr>
        <w:t xml:space="preserve">Peer Review Report</w:t>
      </w:r>
      <w:r>
        <w:t xml:space="preserve">, the</w:t>
      </w:r>
      <w:r>
        <w:t xml:space="preserve"> </w:t>
      </w:r>
      <w:r>
        <w:rPr>
          <w:bCs/>
          <w:b/>
        </w:rPr>
        <w:t xml:space="preserve">Speech Therapist</w:t>
      </w:r>
      <w:r>
        <w:t xml:space="preserve"> </w:t>
      </w:r>
      <w:r>
        <w:t xml:space="preserve">has demonstrated a high standard of clinical practice, ethical conduct, and cultural awareness suitable for the healthcare environment in</w:t>
      </w:r>
      <w:r>
        <w:t xml:space="preserve"> </w:t>
      </w:r>
      <w:r>
        <w:rPr>
          <w:bCs/>
          <w:b/>
        </w:rPr>
        <w:t xml:space="preserve">Saudi Arabia Riyadh</w:t>
      </w:r>
      <w:r>
        <w:t xml:space="preserve">. The therapist is fully competent to continue providing independent clinical services.</w:t>
      </w:r>
    </w:p>
    <w:p>
      <w:pPr>
        <w:pStyle w:val="BodyText"/>
      </w:pPr>
      <w:r>
        <w:rPr>
          <w:bCs/>
          <w:b/>
        </w:rPr>
        <w:t xml:space="preserve">Recommendation:</w:t>
      </w:r>
      <w:r>
        <w:t xml:space="preserve"> </w:t>
      </w:r>
      <w:r>
        <w:rPr>
          <w:iCs/>
          <w:i/>
        </w:rPr>
        <w:t xml:space="preserve">Continue Practice with Minor Development Plan</w:t>
      </w:r>
      <w:r>
        <w:t xml:space="preserve">. The therapist is encouraged to attend advanced workshops on dysphagia management and documentation standards within the next six months.</w:t>
      </w:r>
    </w:p>
    <w:p>
      <w:pPr>
        <w:pStyle w:val="BodyText"/>
      </w:pPr>
      <w:r>
        <w:rPr>
          <w:bCs/>
          <w:b/>
        </w:rPr>
        <w:t xml:space="preserve">Reviewed By:</w:t>
      </w:r>
      <w:r>
        <w:br/>
      </w:r>
      <w:r>
        <w:t xml:space="preserve">[Reviewer Name]</w:t>
      </w:r>
      <w:r>
        <w:br/>
      </w:r>
      <w:r>
        <w:t xml:space="preserve">Senior Speech-Language Pathologist</w:t>
      </w:r>
      <w:r>
        <w:br/>
      </w:r>
      <w:r>
        <w:t xml:space="preserve">Date: _______________</w:t>
      </w:r>
    </w:p>
    <w:p>
      <w:pPr>
        <w:pStyle w:val="BodyText"/>
      </w:pPr>
      <w:r>
        <w:rPr>
          <w:bCs/>
          <w:b/>
        </w:rPr>
        <w:t xml:space="preserve">Acknowledged By:</w:t>
      </w:r>
      <w:r>
        <w:br/>
      </w:r>
      <w:r>
        <w:t xml:space="preserve">[Speech Therapist Name]</w:t>
      </w:r>
      <w:r>
        <w:br/>
      </w:r>
      <w:r>
        <w:t xml:space="preserve">Date: _______________</w:t>
      </w:r>
    </w:p>
    <w:p>
      <w:pPr>
        <w:pStyle w:val="BodyText"/>
      </w:pPr>
      <w:r>
        <w:t xml:space="preserve">This document is confidential and intended for internal clinical use only. It complies with the data privacy regulations of the Kingdom of Saudi Arabia.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Riyadh, Saudi Arabia</dc:title>
  <dc:creator/>
  <dc:language>en</dc:language>
  <cp:keywords/>
  <dcterms:created xsi:type="dcterms:W3CDTF">2026-10-10T04:49:29Z</dcterms:created>
  <dcterms:modified xsi:type="dcterms:W3CDTF">2026-10-10T04:49:29Z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