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Surgical Competency and Clinical Performance Assessment</w:t>
      </w:r>
    </w:p>
    <w:p>
      <w:pPr>
        <w:pStyle w:val="BodyText"/>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proficiency, and ethical conduct of a senior Surgeon currently practicing within the healthcare infrastructure of Afghanistan Kabul. The review process was conducted in accordance with international medical standards, adapted to the specific logistical and environmental realities of the region. The primary objective of this assessment is to ensure that the highest standards of patient safety and surgical excellence are maintained, despite the challenging operational context. The findings presented herein are based on a comprehensive analysis of surgical logs, direct observation of operative procedures, patient outcome data, and interviews with multidisciplinary staff.</w:t>
      </w:r>
    </w:p>
    <w:bookmarkEnd w:id="21"/>
    <w:bookmarkStart w:id="22" w:name="Xed28ef9a53d1ab04900a0027e0a640855216b3b"/>
    <w:p>
      <w:pPr>
        <w:pStyle w:val="Heading2"/>
      </w:pPr>
      <w:r>
        <w:t xml:space="preserve">2. Contextual Background: The Healthcare Environment in Afghanistan Kabul</w:t>
      </w:r>
    </w:p>
    <w:p>
      <w:pPr>
        <w:pStyle w:val="FirstParagraph"/>
      </w:pPr>
      <w:r>
        <w:t xml:space="preserve">To accurately assess the Surgeon, it is imperative to contextualize the review within the unique landscape of Afghanistan Kabul. The medical facilities in Kabul operate under significant constraints, including intermittent power supply, limited access to advanced imaging technology, and occasional shortages of specialized pharmaceuticals and surgical consumables. Furthermore, the patient demographic often presents with complex trauma cases resulting from road traffic accidents and conflict-related injuries, alongside a high burden of infectious diseases and delayed presentations of surgical emergencies.</w:t>
      </w:r>
    </w:p>
    <w:p>
      <w:pPr>
        <w:pStyle w:val="BodyText"/>
      </w:pPr>
      <w:r>
        <w:t xml:space="preserve">In this environment, a Surgeon is required to possess not only technical mastery but also exceptional adaptability, resourcefulness, and crisis management skills. This Peer Review Report specifically evaluates how the subject navigates these challenges while maintaining adherence to the principles of asepsis, anatomical precision, and patient-centered care. The review acknowledges that while resources may be limited, the standard of care expected from a qualified Surgeon must remain uncompromised.</w:t>
      </w:r>
    </w:p>
    <w:bookmarkEnd w:id="22"/>
    <w:bookmarkStart w:id="23" w:name="assessment-of-surgical-competency"/>
    <w:p>
      <w:pPr>
        <w:pStyle w:val="Heading2"/>
      </w:pPr>
      <w:r>
        <w:t xml:space="preserve">3. Assessment of Surgical Competency</w:t>
      </w:r>
    </w:p>
    <w:p>
      <w:pPr>
        <w:pStyle w:val="FirstParagraph"/>
      </w:pPr>
      <w:r>
        <w:t xml:space="preserve">The core of this Peer Review Report focuses on the technical skills of the Surgeon. Over a period of three months, a total of forty-five procedures were reviewed. The case mix included general surgery, trauma laparotomies, orthopedic fracture management, and soft tissue reconstruction.</w:t>
      </w:r>
    </w:p>
    <w:p>
      <w:pPr>
        <w:pStyle w:val="BodyText"/>
      </w:pPr>
      <w:r>
        <w:rPr>
          <w:bCs/>
          <w:b/>
        </w:rPr>
        <w:t xml:space="preserve">Technical Proficiency:</w:t>
      </w:r>
      <w:r>
        <w:t xml:space="preserve"> </w:t>
      </w:r>
      <w:r>
        <w:t xml:space="preserve">The Surgeon demonstrated a high level of technical proficiency. Incisions were precise, hemostasis was effectively managed, and tissue handling was gentle, minimizing trauma. In cases where advanced equipment was unavailable, the Surgeon successfully utilized alternative techniques to achieve surgical goals, demonstrating a deep understanding of fundamental surgical principles.</w:t>
      </w:r>
    </w:p>
    <w:p>
      <w:pPr>
        <w:pStyle w:val="BodyText"/>
      </w:pPr>
      <w:r>
        <w:rPr>
          <w:bCs/>
          <w:b/>
        </w:rPr>
        <w:t xml:space="preserve">Decision Making:</w:t>
      </w:r>
      <w:r>
        <w:t xml:space="preserve"> </w:t>
      </w:r>
      <w:r>
        <w:t xml:space="preserve">Clinical decision-making was observed to be sound and timely. The Surgeon consistently performed thorough pre-operative assessments, accurately identifying contraindications and optimizing patients for surgery within the available timeframe. Intra-operative decision-making during unexpected complications was calm and logical, prioritizing patient survival and functional outcomes.</w:t>
      </w:r>
    </w:p>
    <w:bookmarkEnd w:id="23"/>
    <w:bookmarkStart w:id="24" w:name="patient-safety-and-infection-control"/>
    <w:p>
      <w:pPr>
        <w:pStyle w:val="Heading2"/>
      </w:pPr>
      <w:r>
        <w:t xml:space="preserve">4. Patient Safety and Infection Control</w:t>
      </w:r>
    </w:p>
    <w:p>
      <w:pPr>
        <w:pStyle w:val="FirstParagraph"/>
      </w:pPr>
      <w:r>
        <w:t xml:space="preserve">Given the high risk of surgical site infections in the region, strict adherence to infection control protocols is critical. This Peer Review Report highlights that the Surgeon maintains rigorous standards of aseptic technique. Pre-operative skin preparation, sterile draping, and antibiotic prophylaxis protocols were followed correctly in all observed cases.</w:t>
      </w:r>
    </w:p>
    <w:p>
      <w:pPr>
        <w:pStyle w:val="BodyText"/>
      </w:pPr>
      <w:r>
        <w:t xml:space="preserve">Furthermore, the Surgeon actively participates in the hospital's infection control committee in Kabul, advocating for improved sterilization practices and staff training. Post-operative monitoring was thorough, with early identification and management of complications such as wound dehiscence or infection. The rate of surgical site infections associated with the Surgeon's cases is within acceptable limits for the local epidemiological context.</w:t>
      </w:r>
    </w:p>
    <w:bookmarkEnd w:id="24"/>
    <w:bookmarkStart w:id="25" w:name="professionalism-and-ethical-conduct"/>
    <w:p>
      <w:pPr>
        <w:pStyle w:val="Heading2"/>
      </w:pPr>
      <w:r>
        <w:t xml:space="preserve">5. Professionalism and Ethical Conduct</w:t>
      </w:r>
    </w:p>
    <w:p>
      <w:pPr>
        <w:pStyle w:val="FirstParagraph"/>
      </w:pPr>
      <w:r>
        <w:t xml:space="preserve">The Surgeon exhibits a high degree of professionalism and ethical integrity. In the culturally diverse and sensitive environment of Afghanistan Kabul, the Surgeon demonstrates profound respect for patient dignity, religious beliefs, and family dynamics. Informed consent processes are conducted transparently, ensuring that patients and their families fully understand the risks, benefits, and alternatives of proposed surgical interventions.</w:t>
      </w:r>
    </w:p>
    <w:p>
      <w:pPr>
        <w:pStyle w:val="BodyText"/>
      </w:pPr>
      <w:r>
        <w:t xml:space="preserve">The Surgeon treats all patients with equity, regardless of their socioeconomic status, ethnicity, or political affiliation. This impartiality is crucial for maintaining public trust in the healthcare system. Additionally, the Surgeon maintains accurate and detailed medical records, which is essential for continuity of care and legal accountability.</w:t>
      </w:r>
    </w:p>
    <w:bookmarkEnd w:id="25"/>
    <w:bookmarkStart w:id="26" w:name="leadership-and-team-dynamics"/>
    <w:p>
      <w:pPr>
        <w:pStyle w:val="Heading2"/>
      </w:pPr>
      <w:r>
        <w:t xml:space="preserve">6. Leadership and Team Dynamics</w:t>
      </w:r>
    </w:p>
    <w:p>
      <w:pPr>
        <w:pStyle w:val="FirstParagraph"/>
      </w:pPr>
      <w:r>
        <w:t xml:space="preserve">A Surgeon in a leading role in Kabul must effectively lead a multidisciplinary team often comprised of staff with varying levels of experience. This Peer Review Report notes that the Surgeon fosters a collaborative and supportive operating room environment. Communication with anesthesiologists, nurses, and surgical assistants is clear, respectful, and concise.</w:t>
      </w:r>
    </w:p>
    <w:p>
      <w:pPr>
        <w:pStyle w:val="BodyText"/>
      </w:pPr>
      <w:r>
        <w:t xml:space="preserve">The Surgeon is actively involved in the mentorship and training of junior surgeons and medical students. By conducting regular teaching rounds and providing constructive feedback, the Surgeon contributes significantly to the capacity building of the local surgical workforce. This commitment to education ensures the sustainability of surgical services in the region.</w:t>
      </w:r>
    </w:p>
    <w:bookmarkEnd w:id="26"/>
    <w:bookmarkStart w:id="27" w:name="Xda79409093af40bd3d15ed7d2a5582dbca223f1"/>
    <w:p>
      <w:pPr>
        <w:pStyle w:val="Heading2"/>
      </w:pPr>
      <w:r>
        <w:t xml:space="preserve">7. Areas for Improvement and Recommendations</w:t>
      </w:r>
    </w:p>
    <w:p>
      <w:pPr>
        <w:pStyle w:val="FirstParagraph"/>
      </w:pPr>
      <w:r>
        <w:t xml:space="preserve">While the overall performance is exemplary, this Peer Review Report identifies a few areas for potential enhancement. First, it is recommended that the Surgeon further document long-term functional outcomes for trauma patients to facilitate quality improvement initiatives. Second, given the evolving nature of medical technology, the Surgeon is encouraged to engage in continuous professional development through international telemedicine consultations and online surgical courses to stay abreast of global advancements.</w:t>
      </w:r>
    </w:p>
    <w:bookmarkEnd w:id="27"/>
    <w:bookmarkStart w:id="28" w:name="conclusion"/>
    <w:p>
      <w:pPr>
        <w:pStyle w:val="Heading2"/>
      </w:pPr>
      <w:r>
        <w:t xml:space="preserve">8. Conclusion</w:t>
      </w:r>
    </w:p>
    <w:p>
      <w:pPr>
        <w:pStyle w:val="FirstParagraph"/>
      </w:pPr>
      <w:r>
        <w:t xml:space="preserve">In conclusion, this Peer Review Report affirms that the Surgeon under assessment is a highly competent, ethical, and dedicated medical professional. Their ability to deliver high-quality surgical care in the challenging environment of Afghanistan Kabul is commendable. The Surgeon meets and often exceeds the standards expected for their level of practice. It is the recommendation of this committee that the Surgeon's privileges be renewed without restriction, and that they continue to serve as a role model for surgical excellence in the region.</w:t>
      </w:r>
    </w:p>
    <w:bookmarkEnd w:id="28"/>
    <w:p>
      <w:pPr>
        <w:pStyle w:val="BodyText"/>
      </w:pPr>
      <w:r>
        <w:rPr>
          <w:bCs/>
          <w:b/>
        </w:rPr>
        <w:t xml:space="preserve">Prepared by:</w:t>
      </w:r>
    </w:p>
    <w:p>
      <w:pPr>
        <w:pStyle w:val="BodyText"/>
      </w:pPr>
      <w:r>
        <w:t xml:space="preserve">Dr. [Name Redacted]</w:t>
      </w:r>
    </w:p>
    <w:p>
      <w:pPr>
        <w:pStyle w:val="BodyText"/>
      </w:pPr>
      <w:r>
        <w:t xml:space="preserve">Chair, Peer Review Committee</w:t>
      </w:r>
    </w:p>
    <w:p>
      <w:pPr>
        <w:pStyle w:val="BodyText"/>
      </w:pPr>
      <w:r>
        <w:t xml:space="preserve">Kabul Medical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2026-10-10T02:06:22Z</dcterms:created>
  <dcterms:modified xsi:type="dcterms:W3CDTF">2026-10-10T02:06:22Z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