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Surgeon</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Germany Berlin</w:t>
      </w:r>
    </w:p>
    <w:p>
      <w:pPr>
        <w:pStyle w:val="BodyText"/>
      </w:pPr>
      <w:r>
        <w:rPr>
          <w:bCs/>
          <w:b/>
        </w:rPr>
        <w:t xml:space="preserve">Date of Review:</w:t>
      </w:r>
      <w:r>
        <w:t xml:space="preserve"> </w:t>
      </w:r>
      <w:r>
        <w:t xml:space="preserve">October 15, 2023</w:t>
      </w:r>
    </w:p>
    <w:p>
      <w:pPr>
        <w:pStyle w:val="BodyText"/>
      </w:pPr>
      <w:r>
        <w:rPr>
          <w:bCs/>
          <w:b/>
        </w:rPr>
        <w:t xml:space="preserve">Review Committee:</w:t>
      </w:r>
      <w:r>
        <w:t xml:space="preserve"> </w:t>
      </w:r>
      <w:r>
        <w:t xml:space="preserve">Berlin Medical Association</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performance, and adherence to medical standards of a Surgeon practicing in Germany Berlin. The review process is conducted in accordance with the guidelines set forth by the Berlin Medical Association and the German Medical Association (Bundesärztekammer). The purpose of this report is to ensure that the Surgeon maintains the highest standards of patient care, surgical expertise, and professional conduct expected within the healthcare system of Germany Berlin.</w:t>
      </w:r>
    </w:p>
    <w:bookmarkEnd w:id="21"/>
    <w:bookmarkStart w:id="22" w:name="surgeon-profile"/>
    <w:p>
      <w:pPr>
        <w:pStyle w:val="Heading2"/>
      </w:pPr>
      <w:r>
        <w:t xml:space="preserve">2. Surgeon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[Surgeon's Full Name]</w:t>
            </w:r>
          </w:p>
        </w:tc>
      </w:tr>
      <w:tr>
        <w:tc>
          <w:tcPr/>
          <w:p>
            <w:pPr>
              <w:pStyle w:val="Compact"/>
              <w:jc w:val="left"/>
            </w:pPr>
            <w:r>
              <w:t xml:space="preserve">Specialization</w:t>
            </w:r>
          </w:p>
        </w:tc>
        <w:tc>
          <w:tcPr/>
          <w:p>
            <w:pPr>
              <w:pStyle w:val="Compact"/>
              <w:jc w:val="left"/>
            </w:pPr>
            <w:r>
              <w:t xml:space="preserve">General Surgery / [Specific Subspecialty]</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Current Practice Location</w:t>
            </w:r>
          </w:p>
        </w:tc>
        <w:tc>
          <w:tcPr/>
          <w:p>
            <w:pPr>
              <w:pStyle w:val="Compact"/>
              <w:jc w:val="left"/>
            </w:pPr>
            <w:r>
              <w:t xml:space="preserve">[Hospital/Clinic Name], Germany Berlin</w:t>
            </w:r>
          </w:p>
        </w:tc>
      </w:tr>
    </w:tbl>
    <w:bookmarkEnd w:id="22"/>
    <w:bookmarkStart w:id="23" w:name="scope-of-review"/>
    <w:p>
      <w:pPr>
        <w:pStyle w:val="Heading2"/>
      </w:pPr>
      <w:r>
        <w:t xml:space="preserve">3. Scope of Review</w:t>
      </w:r>
    </w:p>
    <w:p>
      <w:pPr>
        <w:pStyle w:val="FirstParagraph"/>
      </w:pPr>
      <w:r>
        <w:t xml:space="preserve">The Peer Review Report encompasses the following areas:</w:t>
      </w:r>
    </w:p>
    <w:p>
      <w:pPr>
        <w:numPr>
          <w:ilvl w:val="0"/>
          <w:numId w:val="1001"/>
        </w:numPr>
        <w:pStyle w:val="Compact"/>
      </w:pPr>
      <w:r>
        <w:t xml:space="preserve">Clinical performance and surgical outcomes</w:t>
      </w:r>
    </w:p>
    <w:p>
      <w:pPr>
        <w:numPr>
          <w:ilvl w:val="0"/>
          <w:numId w:val="1001"/>
        </w:numPr>
        <w:pStyle w:val="Compact"/>
      </w:pPr>
      <w:r>
        <w:t xml:space="preserve">Adherence to medical guidelines and protocols</w:t>
      </w:r>
    </w:p>
    <w:p>
      <w:pPr>
        <w:numPr>
          <w:ilvl w:val="0"/>
          <w:numId w:val="1001"/>
        </w:numPr>
        <w:pStyle w:val="Compact"/>
      </w:pPr>
      <w:r>
        <w:t xml:space="preserve">Patient safety and risk management</w:t>
      </w:r>
    </w:p>
    <w:p>
      <w:pPr>
        <w:numPr>
          <w:ilvl w:val="0"/>
          <w:numId w:val="1001"/>
        </w:numPr>
        <w:pStyle w:val="Compact"/>
      </w:pPr>
      <w:r>
        <w:t xml:space="preserve">Professional conduct and communication</w:t>
      </w:r>
    </w:p>
    <w:p>
      <w:pPr>
        <w:numPr>
          <w:ilvl w:val="0"/>
          <w:numId w:val="1001"/>
        </w:numPr>
        <w:pStyle w:val="Compact"/>
      </w:pPr>
      <w:r>
        <w:t xml:space="preserve">Continuing medical education and professional development</w:t>
      </w:r>
    </w:p>
    <w:bookmarkEnd w:id="23"/>
    <w:bookmarkStart w:id="24" w:name="X9842997b1060ba695696eb844bf580fed289b67"/>
    <w:p>
      <w:pPr>
        <w:pStyle w:val="Heading2"/>
      </w:pPr>
      <w:r>
        <w:t xml:space="preserve">4. Clinical Performance and Surgical Outcomes</w:t>
      </w:r>
    </w:p>
    <w:p>
      <w:pPr>
        <w:pStyle w:val="FirstParagraph"/>
      </w:pPr>
      <w:r>
        <w:t xml:space="preserve">The Surgeon's clinical performance has been assessed based on a comprehensive review of surgical cases performed over the past two years. The evaluation includes an analysis of preoperative assessments, intraoperative techniques, and postoperative care. Key findings include:</w:t>
      </w:r>
    </w:p>
    <w:p>
      <w:pPr>
        <w:numPr>
          <w:ilvl w:val="0"/>
          <w:numId w:val="1002"/>
        </w:numPr>
        <w:pStyle w:val="Compact"/>
      </w:pPr>
      <w:r>
        <w:rPr>
          <w:bCs/>
          <w:b/>
        </w:rPr>
        <w:t xml:space="preserve">Surgical Success Rate:</w:t>
      </w:r>
      <w:r>
        <w:t xml:space="preserve"> </w:t>
      </w:r>
      <w:r>
        <w:t xml:space="preserve">The Surgeon has demonstrated a high success rate in complex procedures, with outcomes comparable to national benchmarks in Germany Berlin.</w:t>
      </w:r>
    </w:p>
    <w:p>
      <w:pPr>
        <w:numPr>
          <w:ilvl w:val="0"/>
          <w:numId w:val="1002"/>
        </w:numPr>
        <w:pStyle w:val="Compact"/>
      </w:pPr>
      <w:r>
        <w:rPr>
          <w:bCs/>
          <w:b/>
        </w:rPr>
        <w:t xml:space="preserve">Complication Rates:</w:t>
      </w:r>
      <w:r>
        <w:t xml:space="preserve"> </w:t>
      </w:r>
      <w:r>
        <w:t xml:space="preserve">The rate of postoperative complications is within acceptable limits, with timely identification and management of any adverse events.</w:t>
      </w:r>
    </w:p>
    <w:p>
      <w:pPr>
        <w:numPr>
          <w:ilvl w:val="0"/>
          <w:numId w:val="1002"/>
        </w:numPr>
        <w:pStyle w:val="Compact"/>
      </w:pPr>
      <w:r>
        <w:rPr>
          <w:bCs/>
          <w:b/>
        </w:rPr>
        <w:t xml:space="preserve">Patient Recovery:</w:t>
      </w:r>
      <w:r>
        <w:t xml:space="preserve"> </w:t>
      </w:r>
      <w:r>
        <w:t xml:space="preserve">Patients under the Surgeon's care have shown satisfactory recovery rates, with minimal readmissions related to surgical interventions.</w:t>
      </w:r>
    </w:p>
    <w:bookmarkEnd w:id="24"/>
    <w:bookmarkStart w:id="25" w:name="X00c969605d8bbedef578c980486c53182eab24b"/>
    <w:p>
      <w:pPr>
        <w:pStyle w:val="Heading2"/>
      </w:pPr>
      <w:r>
        <w:t xml:space="preserve">5. Adherence to Medical Guidelines and Protocols</w:t>
      </w:r>
    </w:p>
    <w:p>
      <w:pPr>
        <w:pStyle w:val="FirstParagraph"/>
      </w:pPr>
      <w:r>
        <w:t xml:space="preserve">The Surgeon has consistently adhered to the medical guidelines and protocols established by the German Medical Association and the Berlin Medical Association. This includes:</w:t>
      </w:r>
    </w:p>
    <w:p>
      <w:pPr>
        <w:numPr>
          <w:ilvl w:val="0"/>
          <w:numId w:val="1003"/>
        </w:numPr>
        <w:pStyle w:val="Compact"/>
      </w:pPr>
      <w:r>
        <w:t xml:space="preserve">Following evidence-based practices for surgical procedures.</w:t>
      </w:r>
    </w:p>
    <w:p>
      <w:pPr>
        <w:numPr>
          <w:ilvl w:val="0"/>
          <w:numId w:val="1003"/>
        </w:numPr>
        <w:pStyle w:val="Compact"/>
      </w:pPr>
      <w:r>
        <w:t xml:space="preserve">Maintaining accurate and detailed medical records.</w:t>
      </w:r>
    </w:p>
    <w:p>
      <w:pPr>
        <w:numPr>
          <w:ilvl w:val="0"/>
          <w:numId w:val="1003"/>
        </w:numPr>
        <w:pStyle w:val="Compact"/>
      </w:pPr>
      <w:r>
        <w:t xml:space="preserve">Ensuring informed consent is obtained from patients prior to surgery.</w:t>
      </w:r>
    </w:p>
    <w:bookmarkEnd w:id="25"/>
    <w:bookmarkStart w:id="26" w:name="patient-safety-and-risk-management"/>
    <w:p>
      <w:pPr>
        <w:pStyle w:val="Heading2"/>
      </w:pPr>
      <w:r>
        <w:t xml:space="preserve">6. Patient Safety and Risk Management</w:t>
      </w:r>
    </w:p>
    <w:p>
      <w:pPr>
        <w:pStyle w:val="FirstParagraph"/>
      </w:pPr>
      <w:r>
        <w:t xml:space="preserve">Patient safety is a critical component of the Surgeon's practice. The review highlights the following aspects:</w:t>
      </w:r>
    </w:p>
    <w:p>
      <w:pPr>
        <w:numPr>
          <w:ilvl w:val="0"/>
          <w:numId w:val="1004"/>
        </w:numPr>
        <w:pStyle w:val="Compact"/>
      </w:pPr>
      <w:r>
        <w:rPr>
          <w:bCs/>
          <w:b/>
        </w:rPr>
        <w:t xml:space="preserve">Infection Control:</w:t>
      </w:r>
      <w:r>
        <w:t xml:space="preserve"> </w:t>
      </w:r>
      <w:r>
        <w:t xml:space="preserve">The Surgeon adheres to strict infection control measures, contributing to low rates of surgical site infections.</w:t>
      </w:r>
    </w:p>
    <w:p>
      <w:pPr>
        <w:numPr>
          <w:ilvl w:val="0"/>
          <w:numId w:val="1004"/>
        </w:numPr>
        <w:pStyle w:val="Compact"/>
      </w:pPr>
      <w:r>
        <w:rPr>
          <w:bCs/>
          <w:b/>
        </w:rPr>
        <w:t xml:space="preserve">Error Reporting:</w:t>
      </w:r>
      <w:r>
        <w:t xml:space="preserve"> </w:t>
      </w:r>
      <w:r>
        <w:t xml:space="preserve">The Surgeon actively participates in error reporting and quality improvement initiatives, demonstrating a commitment to continuous improvement.</w:t>
      </w:r>
    </w:p>
    <w:p>
      <w:pPr>
        <w:numPr>
          <w:ilvl w:val="0"/>
          <w:numId w:val="1004"/>
        </w:numPr>
        <w:pStyle w:val="Compact"/>
      </w:pPr>
      <w:r>
        <w:rPr>
          <w:bCs/>
          <w:b/>
        </w:rPr>
        <w:t xml:space="preserve">Team Collaboration:</w:t>
      </w:r>
      <w:r>
        <w:t xml:space="preserve"> </w:t>
      </w:r>
      <w:r>
        <w:t xml:space="preserve">Effective collaboration with nursing staff, anesthesiologists, and other healthcare professionals ensures a safe surgical environment.</w:t>
      </w:r>
    </w:p>
    <w:bookmarkEnd w:id="26"/>
    <w:bookmarkStart w:id="27" w:name="professional-conduct-and-communication"/>
    <w:p>
      <w:pPr>
        <w:pStyle w:val="Heading2"/>
      </w:pPr>
      <w:r>
        <w:t xml:space="preserve">7. Professional Conduct and Communication</w:t>
      </w:r>
    </w:p>
    <w:p>
      <w:pPr>
        <w:pStyle w:val="FirstParagraph"/>
      </w:pPr>
      <w:r>
        <w:t xml:space="preserve">The Surgeon's professional conduct and communication skills have been evaluated based on feedback from colleagues, patients, and staff. Key observations include:</w:t>
      </w:r>
    </w:p>
    <w:p>
      <w:pPr>
        <w:numPr>
          <w:ilvl w:val="0"/>
          <w:numId w:val="1005"/>
        </w:numPr>
        <w:pStyle w:val="Compact"/>
      </w:pPr>
      <w:r>
        <w:rPr>
          <w:bCs/>
          <w:b/>
        </w:rPr>
        <w:t xml:space="preserve">Patient Communication:</w:t>
      </w:r>
      <w:r>
        <w:t xml:space="preserve"> </w:t>
      </w:r>
      <w:r>
        <w:t xml:space="preserve">The Surgeon communicates clearly and empathetically with patients, ensuring they understand their condition and treatment options.</w:t>
      </w:r>
    </w:p>
    <w:p>
      <w:pPr>
        <w:numPr>
          <w:ilvl w:val="0"/>
          <w:numId w:val="1005"/>
        </w:numPr>
        <w:pStyle w:val="Compact"/>
      </w:pPr>
      <w:r>
        <w:rPr>
          <w:bCs/>
          <w:b/>
        </w:rPr>
        <w:t xml:space="preserve">Colleague Relations:</w:t>
      </w:r>
      <w:r>
        <w:t xml:space="preserve"> </w:t>
      </w:r>
      <w:r>
        <w:t xml:space="preserve">The Surgeon maintains positive and respectful relationships with colleagues, fostering a collaborative work environment.</w:t>
      </w:r>
    </w:p>
    <w:p>
      <w:pPr>
        <w:numPr>
          <w:ilvl w:val="0"/>
          <w:numId w:val="1005"/>
        </w:numPr>
        <w:pStyle w:val="Compact"/>
      </w:pPr>
      <w:r>
        <w:rPr>
          <w:bCs/>
          <w:b/>
        </w:rPr>
        <w:t xml:space="preserve">Ethical Standards:</w:t>
      </w:r>
      <w:r>
        <w:t xml:space="preserve"> </w:t>
      </w:r>
      <w:r>
        <w:t xml:space="preserve">The Surgeon upholds high ethical standards, prioritizing patient welfare and confidentiality.</w:t>
      </w:r>
    </w:p>
    <w:bookmarkEnd w:id="27"/>
    <w:bookmarkStart w:id="28" w:name="X9c357ae88e351c43b4d1958da4c217ceac58886"/>
    <w:p>
      <w:pPr>
        <w:pStyle w:val="Heading2"/>
      </w:pPr>
      <w:r>
        <w:t xml:space="preserve">8. Continuing Medical Education and Professional Development</w:t>
      </w:r>
    </w:p>
    <w:p>
      <w:pPr>
        <w:pStyle w:val="FirstParagraph"/>
      </w:pPr>
      <w:r>
        <w:t xml:space="preserve">The Surgeon is committed to ongoing professional development, as evidenced by:</w:t>
      </w:r>
    </w:p>
    <w:p>
      <w:pPr>
        <w:numPr>
          <w:ilvl w:val="0"/>
          <w:numId w:val="1006"/>
        </w:numPr>
        <w:pStyle w:val="Compact"/>
      </w:pPr>
      <w:r>
        <w:t xml:space="preserve">Regular participation in medical conferences and workshops in Germany Berlin and internationally.</w:t>
      </w:r>
    </w:p>
    <w:p>
      <w:pPr>
        <w:numPr>
          <w:ilvl w:val="0"/>
          <w:numId w:val="1006"/>
        </w:numPr>
        <w:pStyle w:val="Compact"/>
      </w:pPr>
      <w:r>
        <w:t xml:space="preserve">Completion of continuing medical education (CME) requirements as mandated by the Berlin Medical Association.</w:t>
      </w:r>
    </w:p>
    <w:p>
      <w:pPr>
        <w:numPr>
          <w:ilvl w:val="0"/>
          <w:numId w:val="1006"/>
        </w:numPr>
        <w:pStyle w:val="Compact"/>
      </w:pPr>
      <w:r>
        <w:t xml:space="preserve">Engagement in research and publication of findings in peer-reviewed journals.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7"/>
        </w:numPr>
        <w:pStyle w:val="Compact"/>
      </w:pPr>
      <w:r>
        <w:t xml:space="preserve">Continue to maintain high standards of clinical performance and patient care.</w:t>
      </w:r>
    </w:p>
    <w:p>
      <w:pPr>
        <w:numPr>
          <w:ilvl w:val="0"/>
          <w:numId w:val="1007"/>
        </w:numPr>
        <w:pStyle w:val="Compact"/>
      </w:pPr>
      <w:r>
        <w:t xml:space="preserve">Participate in additional training programs focused on emerging surgical techniques.</w:t>
      </w:r>
    </w:p>
    <w:p>
      <w:pPr>
        <w:numPr>
          <w:ilvl w:val="0"/>
          <w:numId w:val="1007"/>
        </w:numPr>
        <w:pStyle w:val="Compact"/>
      </w:pPr>
      <w:r>
        <w:t xml:space="preserve">Enhance documentation practices to ensure even greater clarity and completeness.</w:t>
      </w:r>
    </w:p>
    <w:bookmarkEnd w:id="29"/>
    <w:bookmarkStart w:id="30" w:name="conclusion"/>
    <w:p>
      <w:pPr>
        <w:pStyle w:val="Heading2"/>
      </w:pPr>
      <w:r>
        <w:t xml:space="preserve">10. Conclusion</w:t>
      </w:r>
    </w:p>
    <w:p>
      <w:pPr>
        <w:pStyle w:val="FirstParagraph"/>
      </w:pPr>
      <w:r>
        <w:t xml:space="preserve">This Peer Review Report concludes that the Surgeon practicing in Germany Berlin meets the professional and clinical standards expected by the Berlin Medical Association and the German healthcare system. The Surgeon demonstrates competence, dedication, and a commitment to patient safety and quality care. Continued adherence to medical guidelines and active participation in professional development will further enhance the Surgeon's contributions to the healthcare community in Germany Berlin.</w:t>
      </w:r>
    </w:p>
    <w:bookmarkEnd w:id="30"/>
    <w:p>
      <w:pPr>
        <w:pStyle w:val="BodyText"/>
      </w:pPr>
      <w:r>
        <w:rPr>
          <w:bCs/>
          <w:b/>
        </w:rPr>
        <w:t xml:space="preserve">Prepared by:</w:t>
      </w:r>
    </w:p>
    <w:p>
      <w:pPr>
        <w:pStyle w:val="BodyText"/>
      </w:pPr>
      <w:r>
        <w:t xml:space="preserve">[Name of Review Committee Chair]</w:t>
      </w:r>
    </w:p>
    <w:p>
      <w:pPr>
        <w:pStyle w:val="BodyText"/>
      </w:pPr>
      <w:r>
        <w:t xml:space="preserve">[Title]</w:t>
      </w:r>
    </w:p>
    <w:p>
      <w:pPr>
        <w:pStyle w:val="BodyText"/>
      </w:pPr>
      <w:r>
        <w:t xml:space="preserve">Berlin Medical Association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Surgeon - Germany Berlin</dc:title>
  <dc:creator/>
  <dc:language>en</dc:language>
  <cp:keywords/>
  <dcterms:created xsi:type="dcterms:W3CDTF">2026-10-10T02:35:44Z</dcterms:created>
  <dcterms:modified xsi:type="dcterms:W3CDTF">2026-10-10T02:35:44Z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