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Surgical</w:t>
      </w:r>
      <w:r>
        <w:t xml:space="preserve"> </w:t>
      </w:r>
      <w:r>
        <w:t xml:space="preserve">Competency</w:t>
      </w:r>
      <w:r>
        <w:t xml:space="preserve"> </w:t>
      </w:r>
      <w:r>
        <w:t xml:space="preserve">Assessment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Surgical Competency and Clinical Practice Evaluation</w:t>
      </w:r>
    </w:p>
    <w:p>
      <w:pPr>
        <w:pStyle w:val="BodyText"/>
      </w:pPr>
      <w:r>
        <w:rPr>
          <w:bCs/>
          <w:b/>
        </w:rPr>
        <w:t xml:space="preserve">Location of Practice:</w:t>
      </w:r>
      <w:r>
        <w:t xml:space="preserve"> </w:t>
      </w:r>
      <w:r>
        <w:t xml:space="preserve">Iran, Tehran</w:t>
      </w:r>
    </w:p>
    <w:p>
      <w:pPr>
        <w:pStyle w:val="BodyText"/>
      </w:pPr>
      <w:r>
        <w:rPr>
          <w:bCs/>
          <w:b/>
        </w:rPr>
        <w:t xml:space="preserve">Date of Report:</w:t>
      </w:r>
      <w:r>
        <w:t xml:space="preserve"> </w:t>
      </w:r>
      <w:r>
        <w:t xml:space="preserve">October 24, 2023</w:t>
      </w:r>
    </w:p>
    <w:p>
      <w:pPr>
        <w:pStyle w:val="BodyText"/>
      </w:pPr>
      <w:r>
        <w:rPr>
          <w:bCs/>
          <w:b/>
        </w:rPr>
        <w:t xml:space="preserve">Review Type:</w:t>
      </w:r>
      <w:r>
        <w:t xml:space="preserve"> </w:t>
      </w:r>
      <w:r>
        <w:t xml:space="preserve">Comprehensive Clinical Audit and Credentialing Assessment</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performance, surgical technique, and professional conduct of a practicing Surgeon within the healthcare infrastructure of Iran, specifically in the metropolitan region of Tehran. The purpose of this document is to provide an objective, evidence-based assessment of the Surgeon's adherence to international standards of care while accounting for the specific regulatory and operational environment of Iranian medical institutions. The review encompasses a retrospective analysis of surgical outcomes, intraoperative decision-making, and postoperative management protocols.</w:t>
      </w:r>
    </w:p>
    <w:bookmarkEnd w:id="21"/>
    <w:bookmarkStart w:id="22" w:name="context-of-practice-in-iran-tehran"/>
    <w:p>
      <w:pPr>
        <w:pStyle w:val="Heading2"/>
      </w:pPr>
      <w:r>
        <w:t xml:space="preserve">2. Context of Practice in Iran, Tehran</w:t>
      </w:r>
    </w:p>
    <w:p>
      <w:pPr>
        <w:pStyle w:val="FirstParagraph"/>
      </w:pPr>
      <w:r>
        <w:t xml:space="preserve">The evaluation takes into consideration the unique landscape of medical practice in Iran, Tehran. As a major medical hub in the Middle East, Tehran hosts a high volume of complex cases and attracts patients from diverse backgrounds. The Surgeon operates within a system that requires strict adherence to the guidelines set by the Iranian Ministry of Health and Medical Education, as well as the Tehran University of Medical Sciences (TUMS) standards where applicable.</w:t>
      </w:r>
    </w:p>
    <w:p>
      <w:pPr>
        <w:pStyle w:val="BodyText"/>
      </w:pPr>
      <w:r>
        <w:t xml:space="preserve">The review acknowledges the resource availability in Tehran, which ranges from state-of-the-art private facilities to public hospitals. The Surgeon's ability to adapt surgical techniques to varying levels of technological support and to maintain high standards of patient safety across these different settings is a critical component of this assessment. Furthermore, the cultural and linguistic nuances of patient communication in Iran are evaluated as part of the Surgeon's holistic professional competency.</w:t>
      </w:r>
    </w:p>
    <w:bookmarkEnd w:id="22"/>
    <w:bookmarkStart w:id="23" w:name="surgical-competency-and-technical-skill"/>
    <w:p>
      <w:pPr>
        <w:pStyle w:val="Heading2"/>
      </w:pPr>
      <w:r>
        <w:t xml:space="preserve">3. Surgical Competency and Technical Skill</w:t>
      </w:r>
    </w:p>
    <w:p>
      <w:pPr>
        <w:pStyle w:val="FirstParagraph"/>
      </w:pPr>
      <w:r>
        <w:t xml:space="preserve">The core of this Peer Review Report focuses on the technical proficiency of the Surgeon. A detailed audit of 50 recent surgical cases was conducted. The findings indicate that the Surgeon demonstrates a high level of anatomical knowledge and manual dexterity. The operative notes reviewed show clear, concise documentation of the surgical steps, consistent with best practices expected in a major medical center in Tehran.</w:t>
      </w:r>
    </w:p>
    <w:p>
      <w:pPr>
        <w:pStyle w:val="BodyText"/>
      </w:pPr>
      <w:r>
        <w:t xml:space="preserve">Specific attention was paid to the management of complications. The Surgeon exhibited sound judgment in intraoperative crisis management, effectively mitigating risks associated with hemorrhage and tissue trauma. The use of minimally invasive techniques, where appropriate, aligns with modern surgical trends prevalent in advanced hospitals in Iran. The review confirms that the Surgeon maintains a sterile field rigorously and adheres to infection control protocols mandated by local health authorities.</w:t>
      </w:r>
    </w:p>
    <w:bookmarkEnd w:id="23"/>
    <w:bookmarkStart w:id="24" w:name="clinical-outcomes-and-patient-safety"/>
    <w:p>
      <w:pPr>
        <w:pStyle w:val="Heading2"/>
      </w:pPr>
      <w:r>
        <w:t xml:space="preserve">4. Clinical Outcomes and Patient Safety</w:t>
      </w:r>
    </w:p>
    <w:p>
      <w:pPr>
        <w:pStyle w:val="FirstParagraph"/>
      </w:pPr>
      <w:r>
        <w:t xml:space="preserve">Patient safety is paramount in this Peer Review Report. The analysis of postoperative outcomes reveals that the Surgeon's complication rates are within the acceptable range for the specific procedures performed. There is a notable emphasis on postoperative care, with the Surgeon actively participating in ward rounds and ensuring that pain management and recovery protocols are followed diligently.</w:t>
      </w:r>
    </w:p>
    <w:p>
      <w:pPr>
        <w:pStyle w:val="BodyText"/>
      </w:pPr>
      <w:r>
        <w:t xml:space="preserve">In the context of Iran, Tehran, where patient expectations for surgical success are high, the Surgeon has maintained a strong record of patient satisfaction. The review highlights the Surgeon's proactive approach to identifying potential risks during the preoperative phase, ensuring that patients are adequately informed and prepared. This aligns with the ethical standards required for medical practice in the region.</w:t>
      </w:r>
    </w:p>
    <w:bookmarkEnd w:id="24"/>
    <w:bookmarkStart w:id="25" w:name="professionalism-and-ethical-conduct"/>
    <w:p>
      <w:pPr>
        <w:pStyle w:val="Heading2"/>
      </w:pPr>
      <w:r>
        <w:t xml:space="preserve">5. Professionalism and Ethical Conduct</w:t>
      </w:r>
    </w:p>
    <w:p>
      <w:pPr>
        <w:pStyle w:val="FirstParagraph"/>
      </w:pPr>
      <w:r>
        <w:t xml:space="preserve">The Surgeon's professional behavior was assessed through interviews with colleagues, nursing staff, and administrative personnel. The feedback indicates that the Surgeon is respected within the medical community in Tehran for their collaborative approach and leadership in the operating room. The Surgeon demonstrates a commitment to continuous professional development, regularly attending conferences and workshops to stay updated with the latest advancements in surgical science.</w:t>
      </w:r>
    </w:p>
    <w:p>
      <w:pPr>
        <w:pStyle w:val="BodyText"/>
      </w:pPr>
      <w:r>
        <w:t xml:space="preserve">Ethical considerations, including informed consent and patient confidentiality, are handled with the utmost integrity. The Surgeon navigates the complex socio-cultural dynamics of patient care in Iran with sensitivity and professionalism, ensuring that all interactions are respectful and transparent.</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 for the Surgeon:</w:t>
      </w:r>
    </w:p>
    <w:p>
      <w:pPr>
        <w:numPr>
          <w:ilvl w:val="0"/>
          <w:numId w:val="1001"/>
        </w:numPr>
        <w:pStyle w:val="Compact"/>
      </w:pPr>
      <w:r>
        <w:t xml:space="preserve">Continue to engage in multidisciplinary team meetings to enhance collaborative care models within hospitals in Tehran.</w:t>
      </w:r>
    </w:p>
    <w:p>
      <w:pPr>
        <w:numPr>
          <w:ilvl w:val="0"/>
          <w:numId w:val="1001"/>
        </w:numPr>
        <w:pStyle w:val="Compact"/>
      </w:pPr>
      <w:r>
        <w:t xml:space="preserve">Consider participating in international surgical audits to benchmark performance against global standards.</w:t>
      </w:r>
    </w:p>
    <w:p>
      <w:pPr>
        <w:numPr>
          <w:ilvl w:val="0"/>
          <w:numId w:val="1001"/>
        </w:numPr>
        <w:pStyle w:val="Compact"/>
      </w:pPr>
      <w:r>
        <w:t xml:space="preserve">Maintain rigorous documentation practices to support ongoing quality improvement initiatives.</w:t>
      </w:r>
    </w:p>
    <w:bookmarkEnd w:id="26"/>
    <w:bookmarkStart w:id="27" w:name="conclusion"/>
    <w:p>
      <w:pPr>
        <w:pStyle w:val="Heading2"/>
      </w:pPr>
      <w:r>
        <w:t xml:space="preserve">7. Conclusion</w:t>
      </w:r>
    </w:p>
    <w:p>
      <w:pPr>
        <w:pStyle w:val="FirstParagraph"/>
      </w:pPr>
      <w:r>
        <w:t xml:space="preserve">In conclusion, this Peer Review Report affirms that the Surgeon under review is a competent, ethical, and dedicated medical professional. Their practice in Iran, Tehran, meets the high standards required for surgical excellence. The Surgeon's commitment to patient safety, technical proficiency, and professional integrity makes them a valuable asset to the healthcare system. This report serves as a formal endorsement of their continued practice and credentialing.</w:t>
      </w:r>
    </w:p>
    <w:bookmarkEnd w:id="27"/>
    <w:p>
      <w:pPr>
        <w:pStyle w:val="BodyText"/>
      </w:pPr>
      <w:r>
        <w:rPr>
          <w:bCs/>
          <w:b/>
        </w:rPr>
        <w:t xml:space="preserve">Reviewed By:</w:t>
      </w:r>
    </w:p>
    <w:p>
      <w:pPr>
        <w:pStyle w:val="BodyText"/>
      </w:pPr>
      <w:r>
        <w:t xml:space="preserve">Dr. [Reviewer Name]</w:t>
      </w:r>
    </w:p>
    <w:p>
      <w:pPr>
        <w:pStyle w:val="BodyText"/>
      </w:pPr>
      <w:r>
        <w:t xml:space="preserve">Senior Surgical Consultant</w:t>
      </w:r>
    </w:p>
    <w:p>
      <w:pPr>
        <w:pStyle w:val="BodyText"/>
      </w:pPr>
      <w:r>
        <w:rPr>
          <w:bCs/>
          <w:b/>
        </w:rPr>
        <w:t xml:space="preserve">Date:</w:t>
      </w:r>
    </w:p>
    <w:p>
      <w:pPr>
        <w:pStyle w:val="BodyText"/>
      </w:pP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Surgical Competency Assessment</dc:title>
  <dc:creator/>
  <dc:language>en</dc:language>
  <cp:keywords/>
  <dcterms:created xsi:type="dcterms:W3CDTF">2026-10-10T02:35:19Z</dcterms:created>
  <dcterms:modified xsi:type="dcterms:W3CDTF">2026-10-10T02:35:19Z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