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Clinical Competency and Professional Practice Assessment</w:t>
      </w:r>
    </w:p>
    <w:p>
      <w:pPr>
        <w:pStyle w:val="BodyText"/>
      </w:pPr>
      <w:r>
        <w:t xml:space="preserve">Report ID:</w:t>
      </w:r>
      <w:r>
        <w:t xml:space="preserve"> </w:t>
      </w:r>
      <w:r>
        <w:t xml:space="preserve">KYO-SRG-2023-089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Japan Kyoto</w:t>
      </w:r>
    </w:p>
    <w:p>
      <w:pPr>
        <w:pStyle w:val="BodyText"/>
      </w:pPr>
      <w:r>
        <w:t xml:space="preserve">Institution:</w:t>
      </w:r>
      <w:r>
        <w:t xml:space="preserve"> </w:t>
      </w:r>
      <w:r>
        <w:t xml:space="preserve">Kyoto University Hospital &amp; Affiliated Clinics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proficiency, and professional conduct of the subject</w:t>
      </w:r>
      <w:r>
        <w:t xml:space="preserve"> </w:t>
      </w:r>
      <w:r>
        <w:rPr>
          <w:bCs/>
          <w:b/>
        </w:rPr>
        <w:t xml:space="preserve">Surgeon</w:t>
      </w:r>
      <w:r>
        <w:t xml:space="preserve"> </w:t>
      </w:r>
      <w:r>
        <w:t xml:space="preserve">practicing within the healthcare ecosystem of</w:t>
      </w:r>
      <w:r>
        <w:t xml:space="preserve"> </w:t>
      </w:r>
      <w:r>
        <w:rPr>
          <w:bCs/>
          <w:b/>
        </w:rPr>
        <w:t xml:space="preserve">Japan Kyoto</w:t>
      </w:r>
      <w:r>
        <w:t xml:space="preserve">. The review process adheres to the standards set by the Japanese Medical Association and the specific regulatory requirements of the Kyoto Prefectural Board of Medicine. The primary objective is to ensure that the</w:t>
      </w:r>
      <w:r>
        <w:t xml:space="preserve"> </w:t>
      </w:r>
      <w:r>
        <w:rPr>
          <w:bCs/>
          <w:b/>
        </w:rPr>
        <w:t xml:space="preserve">Surgeon</w:t>
      </w:r>
      <w:r>
        <w:t xml:space="preserve"> </w:t>
      </w:r>
      <w:r>
        <w:t xml:space="preserve">maintains the highest levels of patient safety, technical excellence, and ethical practice expected in this prestigious medical hub.</w:t>
      </w:r>
    </w:p>
    <w:p>
      <w:pPr>
        <w:pStyle w:val="BodyText"/>
      </w:pPr>
      <w:r>
        <w:t xml:space="preserve">The assessment covers a twelve-month period of clinical activity, focusing on surgical outcomes, adherence to protocols, interdisciplinary collaboration, and patient satisfaction. The findings indicate a generally high standard of care, with specific areas identified for continuous improvement to align with the evolving medical landscape in</w:t>
      </w:r>
      <w:r>
        <w:t xml:space="preserve"> </w:t>
      </w:r>
      <w:r>
        <w:rPr>
          <w:bCs/>
          <w:b/>
        </w:rPr>
        <w:t xml:space="preserve">Japan Kyoto</w:t>
      </w:r>
      <w:r>
        <w:t xml:space="preserve">.</w:t>
      </w:r>
    </w:p>
    <w:bookmarkEnd w:id="21"/>
    <w:bookmarkStart w:id="22" w:name="surgeon-profile-and-scope-of-practice"/>
    <w:p>
      <w:pPr>
        <w:pStyle w:val="Heading2"/>
      </w:pPr>
      <w:r>
        <w:t xml:space="preserve">2. Surgeon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Name</w:t>
            </w:r>
          </w:p>
        </w:tc>
        <w:tc>
          <w:tcPr/>
          <w:p>
            <w:pPr>
              <w:pStyle w:val="Compact"/>
              <w:jc w:val="left"/>
            </w:pPr>
            <w:r>
              <w:t xml:space="preserve">Dr. [Redacted for Privacy]</w:t>
            </w:r>
          </w:p>
        </w:tc>
      </w:tr>
      <w:tr>
        <w:tc>
          <w:tcPr/>
          <w:p>
            <w:pPr>
              <w:pStyle w:val="Compact"/>
              <w:jc w:val="left"/>
            </w:pPr>
            <w:r>
              <w:rPr>
                <w:bCs/>
                <w:b/>
              </w:rPr>
              <w:t xml:space="preserve">Specialty</w:t>
            </w:r>
          </w:p>
        </w:tc>
        <w:tc>
          <w:tcPr/>
          <w:p>
            <w:pPr>
              <w:pStyle w:val="Compact"/>
              <w:jc w:val="left"/>
            </w:pPr>
            <w:r>
              <w:t xml:space="preserve">General Surgery / Hepatobiliary Surgery</w:t>
            </w:r>
          </w:p>
        </w:tc>
      </w:tr>
      <w:tr>
        <w:tc>
          <w:tcPr/>
          <w:p>
            <w:pPr>
              <w:pStyle w:val="Compact"/>
              <w:jc w:val="left"/>
            </w:pPr>
            <w:r>
              <w:rPr>
                <w:bCs/>
                <w:b/>
              </w:rPr>
              <w:t xml:space="preserve">Licensure</w:t>
            </w:r>
          </w:p>
        </w:tc>
        <w:tc>
          <w:tcPr/>
          <w:p>
            <w:pPr>
              <w:pStyle w:val="Compact"/>
              <w:jc w:val="left"/>
            </w:pPr>
            <w:r>
              <w:t xml:space="preserve">Valid Japanese Medical License (Kyoto Prefecture)</w:t>
            </w:r>
          </w:p>
        </w:tc>
      </w:tr>
      <w:tr>
        <w:tc>
          <w:tcPr/>
          <w:p>
            <w:pPr>
              <w:pStyle w:val="Compact"/>
              <w:jc w:val="left"/>
            </w:pPr>
            <w:r>
              <w:rPr>
                <w:bCs/>
                <w:b/>
              </w:rPr>
              <w:t xml:space="preserve">Years of Experience</w:t>
            </w:r>
          </w:p>
        </w:tc>
        <w:tc>
          <w:tcPr/>
          <w:p>
            <w:pPr>
              <w:pStyle w:val="Compact"/>
              <w:jc w:val="left"/>
            </w:pPr>
            <w:r>
              <w:t xml:space="preserve">15 Years</w:t>
            </w:r>
          </w:p>
        </w:tc>
      </w:tr>
      <w:tr>
        <w:tc>
          <w:tcPr/>
          <w:p>
            <w:pPr>
              <w:pStyle w:val="Compact"/>
              <w:jc w:val="left"/>
            </w:pPr>
            <w:r>
              <w:rPr>
                <w:bCs/>
                <w:b/>
              </w:rPr>
              <w:t xml:space="preserve">Primary Practice Location</w:t>
            </w:r>
          </w:p>
        </w:tc>
        <w:tc>
          <w:tcPr/>
          <w:p>
            <w:pPr>
              <w:pStyle w:val="Compact"/>
              <w:jc w:val="left"/>
            </w:pPr>
            <w:r>
              <w:t xml:space="preserve">Kyoto City, Japan</w:t>
            </w:r>
          </w:p>
        </w:tc>
      </w:tr>
      <w:tr>
        <w:tc>
          <w:tcPr/>
          <w:p>
            <w:pPr>
              <w:pStyle w:val="Compact"/>
              <w:jc w:val="left"/>
            </w:pPr>
            <w:r>
              <w:rPr>
                <w:bCs/>
                <w:b/>
              </w:rPr>
              <w:t xml:space="preserve">Review Period</w:t>
            </w:r>
          </w:p>
        </w:tc>
        <w:tc>
          <w:tcPr/>
          <w:p>
            <w:pPr>
              <w:pStyle w:val="Compact"/>
              <w:jc w:val="left"/>
            </w:pPr>
            <w:r>
              <w:t xml:space="preserve">October 2022 - September 2023</w:t>
            </w:r>
          </w:p>
        </w:tc>
      </w:tr>
    </w:tbl>
    <w:bookmarkEnd w:id="22"/>
    <w:bookmarkStart w:id="26" w:name="X9842997b1060ba695696eb844bf580fed289b67"/>
    <w:p>
      <w:pPr>
        <w:pStyle w:val="Heading2"/>
      </w:pPr>
      <w:r>
        <w:t xml:space="preserve">3. Clinical Performance and Surgical Outcomes</w:t>
      </w:r>
    </w:p>
    <w:p>
      <w:pPr>
        <w:pStyle w:val="FirstParagraph"/>
      </w:pPr>
      <w:r>
        <w:t xml:space="preserve">The core of this</w:t>
      </w:r>
      <w:r>
        <w:t xml:space="preserve"> </w:t>
      </w:r>
      <w:r>
        <w:rPr>
          <w:bCs/>
          <w:b/>
        </w:rPr>
        <w:t xml:space="preserve">Peer Review Report</w:t>
      </w:r>
      <w:r>
        <w:t xml:space="preserve"> </w:t>
      </w:r>
      <w:r>
        <w:t xml:space="preserve">focuses on the technical and clinical capabilities of the</w:t>
      </w:r>
      <w:r>
        <w:t xml:space="preserve"> </w:t>
      </w:r>
      <w:r>
        <w:rPr>
          <w:bCs/>
          <w:b/>
        </w:rPr>
        <w:t xml:space="preserve">Surgeon</w:t>
      </w:r>
      <w:r>
        <w:t xml:space="preserve">. In the context of</w:t>
      </w:r>
      <w:r>
        <w:t xml:space="preserve"> </w:t>
      </w:r>
      <w:r>
        <w:rPr>
          <w:bCs/>
          <w:b/>
        </w:rPr>
        <w:t xml:space="preserve">Japan Kyoto</w:t>
      </w:r>
      <w:r>
        <w:t xml:space="preserve">, where medical technology and patient expectations are exceptionally high, the evaluation metrics are rigorous.</w:t>
      </w:r>
    </w:p>
    <w:bookmarkStart w:id="23" w:name="surgical-volume-and-complexity"/>
    <w:p>
      <w:pPr>
        <w:pStyle w:val="Heading3"/>
      </w:pPr>
      <w:r>
        <w:t xml:space="preserve">3.1 Surgical Volume and Complexity</w:t>
      </w:r>
    </w:p>
    <w:p>
      <w:pPr>
        <w:pStyle w:val="FirstParagraph"/>
      </w:pPr>
      <w:r>
        <w:t xml:space="preserve">The</w:t>
      </w:r>
      <w:r>
        <w:t xml:space="preserve"> </w:t>
      </w:r>
      <w:r>
        <w:rPr>
          <w:bCs/>
          <w:b/>
        </w:rPr>
        <w:t xml:space="preserve">Surgeon</w:t>
      </w:r>
      <w:r>
        <w:t xml:space="preserve"> </w:t>
      </w:r>
      <w:r>
        <w:t xml:space="preserve">has maintained a consistent surgical volume, performing approximately 180 major procedures during the review period. The case mix includes complex hepatobiliary resections, laparoscopic cholecystectomies, and emergency trauma surgeries. The data indicates that the</w:t>
      </w:r>
      <w:r>
        <w:t xml:space="preserve"> </w:t>
      </w:r>
      <w:r>
        <w:rPr>
          <w:bCs/>
          <w:b/>
        </w:rPr>
        <w:t xml:space="preserve">Surgeon</w:t>
      </w:r>
      <w:r>
        <w:t xml:space="preserve"> </w:t>
      </w:r>
      <w:r>
        <w:t xml:space="preserve">is capable of managing high-acuity cases independently, a critical requirement for senior practitioners in Kyoto's major hospitals.</w:t>
      </w:r>
    </w:p>
    <w:bookmarkEnd w:id="23"/>
    <w:bookmarkStart w:id="24" w:name="complication-rates-and-mortality"/>
    <w:p>
      <w:pPr>
        <w:pStyle w:val="Heading3"/>
      </w:pPr>
      <w:r>
        <w:t xml:space="preserve">3.2 Complication Rates and Mortality</w:t>
      </w:r>
    </w:p>
    <w:p>
      <w:pPr>
        <w:pStyle w:val="FirstParagraph"/>
      </w:pPr>
      <w:r>
        <w:t xml:space="preserve">Analysis of post-operative data reveals that the</w:t>
      </w:r>
      <w:r>
        <w:t xml:space="preserve"> </w:t>
      </w:r>
      <w:r>
        <w:rPr>
          <w:bCs/>
          <w:b/>
        </w:rPr>
        <w:t xml:space="preserve">Surgeon</w:t>
      </w:r>
      <w:r>
        <w:t xml:space="preserve">'s complication rates are within the acceptable national benchmarks for Japan. Specifically, the rate of surgical site infections (SSI) is slightly below the national average, reflecting strict adherence to sterile techniques and perioperative care protocols. No preventable mortalities were recorded during the review period. This performance is commendable and aligns with the high standards of patient safety promoted by healthcare institutions in</w:t>
      </w:r>
      <w:r>
        <w:t xml:space="preserve"> </w:t>
      </w:r>
      <w:r>
        <w:rPr>
          <w:bCs/>
          <w:b/>
        </w:rPr>
        <w:t xml:space="preserve">Japan Kyoto</w:t>
      </w:r>
      <w:r>
        <w:t xml:space="preserve">.</w:t>
      </w:r>
    </w:p>
    <w:bookmarkEnd w:id="24"/>
    <w:bookmarkStart w:id="25" w:name="adherence-to-clinical-guidelines"/>
    <w:p>
      <w:pPr>
        <w:pStyle w:val="Heading3"/>
      </w:pPr>
      <w:r>
        <w:t xml:space="preserve">3.3 Adherence to Clinical Guidelines</w:t>
      </w:r>
    </w:p>
    <w:p>
      <w:pPr>
        <w:pStyle w:val="FirstParagraph"/>
      </w:pPr>
      <w:r>
        <w:t xml:space="preserve">The</w:t>
      </w:r>
      <w:r>
        <w:t xml:space="preserve"> </w:t>
      </w:r>
      <w:r>
        <w:rPr>
          <w:bCs/>
          <w:b/>
        </w:rPr>
        <w:t xml:space="preserve">Surgeon</w:t>
      </w:r>
      <w:r>
        <w:t xml:space="preserve"> </w:t>
      </w:r>
      <w:r>
        <w:t xml:space="preserve">demonstrates a strong commitment to evidence-based medicine. Pre-operative assessments, intra-operative decision-making, and post-operative management plans consistently follow the latest guidelines issued by the Japanese Society of Hepato-Biliary-Pancreatic Surgery. The integration of minimally invasive techniques is particularly notable, showcasing the</w:t>
      </w:r>
      <w:r>
        <w:t xml:space="preserve"> </w:t>
      </w:r>
      <w:r>
        <w:rPr>
          <w:bCs/>
          <w:b/>
        </w:rPr>
        <w:t xml:space="preserve">Surgeon</w:t>
      </w:r>
      <w:r>
        <w:t xml:space="preserve">'s dedication to reducing patient recovery time and improving overall outcomes.</w:t>
      </w:r>
    </w:p>
    <w:bookmarkEnd w:id="25"/>
    <w:bookmarkEnd w:id="26"/>
    <w:bookmarkStart w:id="29" w:name="X4c8e0915f5d21f477c79b09bd7337b687bb7388"/>
    <w:p>
      <w:pPr>
        <w:pStyle w:val="Heading2"/>
      </w:pPr>
      <w:r>
        <w:t xml:space="preserve">4. Professional Conduct and Interdisciplinary Collaboration</w:t>
      </w:r>
    </w:p>
    <w:p>
      <w:pPr>
        <w:pStyle w:val="FirstParagraph"/>
      </w:pPr>
      <w:r>
        <w:t xml:space="preserve">In the collaborative environment of</w:t>
      </w:r>
      <w:r>
        <w:t xml:space="preserve"> </w:t>
      </w:r>
      <w:r>
        <w:rPr>
          <w:bCs/>
          <w:b/>
        </w:rPr>
        <w:t xml:space="preserve">Japan Kyoto</w:t>
      </w:r>
      <w:r>
        <w:t xml:space="preserve">'s medical community, effective communication and teamwork are paramount. This section of the</w:t>
      </w:r>
      <w:r>
        <w:t xml:space="preserve"> </w:t>
      </w:r>
      <w:r>
        <w:rPr>
          <w:bCs/>
          <w:b/>
        </w:rPr>
        <w:t xml:space="preserve">Peer Review Report</w:t>
      </w:r>
      <w:r>
        <w:t xml:space="preserve"> </w:t>
      </w:r>
      <w:r>
        <w:t xml:space="preserve">assesses the</w:t>
      </w:r>
      <w:r>
        <w:t xml:space="preserve"> </w:t>
      </w:r>
      <w:r>
        <w:rPr>
          <w:bCs/>
          <w:b/>
        </w:rPr>
        <w:t xml:space="preserve">Surgeon</w:t>
      </w:r>
      <w:r>
        <w:t xml:space="preserve">'s interactions with colleagues, nursing staff, and other healthcare professionals.</w:t>
      </w:r>
    </w:p>
    <w:bookmarkStart w:id="27" w:name="team-dynamics"/>
    <w:p>
      <w:pPr>
        <w:pStyle w:val="Heading3"/>
      </w:pPr>
      <w:r>
        <w:t xml:space="preserve">4.1 Team Dynamics</w:t>
      </w:r>
    </w:p>
    <w:p>
      <w:pPr>
        <w:pStyle w:val="FirstParagraph"/>
      </w:pPr>
      <w:r>
        <w:t xml:space="preserve">Feedback from multidisciplinary team members indicates that the</w:t>
      </w:r>
      <w:r>
        <w:t xml:space="preserve"> </w:t>
      </w:r>
      <w:r>
        <w:rPr>
          <w:bCs/>
          <w:b/>
        </w:rPr>
        <w:t xml:space="preserve">Surgeon</w:t>
      </w:r>
      <w:r>
        <w:t xml:space="preserve"> </w:t>
      </w:r>
      <w:r>
        <w:t xml:space="preserve">fosters a respectful and professional operating room environment. The</w:t>
      </w:r>
      <w:r>
        <w:t xml:space="preserve"> </w:t>
      </w:r>
      <w:r>
        <w:rPr>
          <w:bCs/>
          <w:b/>
        </w:rPr>
        <w:t xml:space="preserve">Surgeon</w:t>
      </w:r>
      <w:r>
        <w:t xml:space="preserve"> </w:t>
      </w:r>
      <w:r>
        <w:t xml:space="preserve">is recognized for clear communication during procedures and for actively involving the surgical team in decision-making processes. This approach enhances team cohesion and contributes to the overall efficiency of surgical workflows.</w:t>
      </w:r>
    </w:p>
    <w:bookmarkEnd w:id="27"/>
    <w:bookmarkStart w:id="28" w:name="patient-communication"/>
    <w:p>
      <w:pPr>
        <w:pStyle w:val="Heading3"/>
      </w:pPr>
      <w:r>
        <w:t xml:space="preserve">4.2 Patient Communication</w:t>
      </w:r>
    </w:p>
    <w:p>
      <w:pPr>
        <w:pStyle w:val="FirstParagraph"/>
      </w:pPr>
      <w:r>
        <w:t xml:space="preserve">Patient satisfaction surveys highlight the</w:t>
      </w:r>
      <w:r>
        <w:t xml:space="preserve"> </w:t>
      </w:r>
      <w:r>
        <w:rPr>
          <w:bCs/>
          <w:b/>
        </w:rPr>
        <w:t xml:space="preserve">Surgeon</w:t>
      </w:r>
      <w:r>
        <w:t xml:space="preserve">'s ability to explain complex medical conditions in understandable terms. The</w:t>
      </w:r>
      <w:r>
        <w:t xml:space="preserve"> </w:t>
      </w:r>
      <w:r>
        <w:rPr>
          <w:bCs/>
          <w:b/>
        </w:rPr>
        <w:t xml:space="preserve">Surgeon</w:t>
      </w:r>
      <w:r>
        <w:t xml:space="preserve"> </w:t>
      </w:r>
      <w:r>
        <w:t xml:space="preserve">demonstrates empathy and cultural sensitivity, which is essential when treating a diverse patient population in</w:t>
      </w:r>
      <w:r>
        <w:t xml:space="preserve"> </w:t>
      </w:r>
      <w:r>
        <w:rPr>
          <w:bCs/>
          <w:b/>
        </w:rPr>
        <w:t xml:space="preserve">Japan Kyoto</w:t>
      </w:r>
      <w:r>
        <w:t xml:space="preserve">. Informed consent processes are thoroughly documented, ensuring that patients are fully aware of the risks, benefits, and alternatives of their surgical procedures.</w:t>
      </w:r>
    </w:p>
    <w:bookmarkEnd w:id="28"/>
    <w:bookmarkEnd w:id="29"/>
    <w:bookmarkStart w:id="30"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Surgeon</w:t>
      </w:r>
      <w:r>
        <w:t xml:space="preserve"> </w:t>
      </w:r>
      <w:r>
        <w:t xml:space="preserve">is highly satisfactory, this</w:t>
      </w:r>
      <w:r>
        <w:t xml:space="preserve"> </w:t>
      </w:r>
      <w:r>
        <w:rPr>
          <w:bCs/>
          <w:b/>
        </w:rPr>
        <w:t xml:space="preserve">Peer Review Report</w:t>
      </w:r>
      <w:r>
        <w:t xml:space="preserve"> </w:t>
      </w:r>
      <w:r>
        <w:t xml:space="preserve">identifies several areas for potential enhancement to further elevate the standard of care.</w:t>
      </w:r>
    </w:p>
    <w:p>
      <w:pPr>
        <w:numPr>
          <w:ilvl w:val="0"/>
          <w:numId w:val="1001"/>
        </w:numPr>
        <w:pStyle w:val="Compact"/>
      </w:pPr>
      <w:r>
        <w:rPr>
          <w:bCs/>
          <w:b/>
        </w:rPr>
        <w:t xml:space="preserve">Documentation Timeliness:</w:t>
      </w:r>
      <w:r>
        <w:t xml:space="preserve"> </w:t>
      </w:r>
      <w:r>
        <w:t xml:space="preserve">There are occasional delays in completing post-operative notes within the electronic health record system. Prompt documentation is crucial for continuity of care and legal compliance in</w:t>
      </w:r>
      <w:r>
        <w:t xml:space="preserve"> </w:t>
      </w:r>
      <w:r>
        <w:rPr>
          <w:bCs/>
          <w:b/>
        </w:rPr>
        <w:t xml:space="preserve">Japan Kyoto</w:t>
      </w:r>
      <w:r>
        <w:t xml:space="preserve">.</w:t>
      </w:r>
    </w:p>
    <w:p>
      <w:pPr>
        <w:numPr>
          <w:ilvl w:val="0"/>
          <w:numId w:val="1001"/>
        </w:numPr>
        <w:pStyle w:val="Compact"/>
      </w:pPr>
      <w:r>
        <w:rPr>
          <w:bCs/>
          <w:b/>
        </w:rPr>
        <w:t xml:space="preserve">Research and Academic Contribution:</w:t>
      </w:r>
      <w:r>
        <w:t xml:space="preserve"> </w:t>
      </w:r>
      <w:r>
        <w:t xml:space="preserve">Although clinically proficient, the</w:t>
      </w:r>
      <w:r>
        <w:t xml:space="preserve"> </w:t>
      </w:r>
      <w:r>
        <w:rPr>
          <w:bCs/>
          <w:b/>
        </w:rPr>
        <w:t xml:space="preserve">Surgeon</w:t>
      </w:r>
      <w:r>
        <w:t xml:space="preserve">'s involvement in academic research and publication is limited. Given the research-intensive nature of Kyoto's medical institutions, increased engagement in scholarly activities is encouraged.</w:t>
      </w:r>
    </w:p>
    <w:p>
      <w:pPr>
        <w:numPr>
          <w:ilvl w:val="0"/>
          <w:numId w:val="1001"/>
        </w:numPr>
        <w:pStyle w:val="Compact"/>
      </w:pPr>
      <w:r>
        <w:rPr>
          <w:bCs/>
          <w:b/>
        </w:rPr>
        <w:t xml:space="preserve">Mentorship:</w:t>
      </w:r>
      <w:r>
        <w:t xml:space="preserve"> </w:t>
      </w:r>
      <w:r>
        <w:t xml:space="preserve">The</w:t>
      </w:r>
      <w:r>
        <w:t xml:space="preserve"> </w:t>
      </w:r>
      <w:r>
        <w:rPr>
          <w:bCs/>
          <w:b/>
        </w:rPr>
        <w:t xml:space="preserve">Surgeon</w:t>
      </w:r>
      <w:r>
        <w:t xml:space="preserve"> </w:t>
      </w:r>
      <w:r>
        <w:t xml:space="preserve">is advised to take a more active role in mentoring junior surgeons and residents, thereby contributing to the development of the next generation of medical professionals in the region.</w:t>
      </w:r>
    </w:p>
    <w:bookmarkEnd w:id="30"/>
    <w:bookmarkStart w:id="31" w:name="conclusion-and-recommendations"/>
    <w:p>
      <w:pPr>
        <w:pStyle w:val="Heading2"/>
      </w:pPr>
      <w:r>
        <w:t xml:space="preserve">6. Conclusion and Recommendations</w:t>
      </w:r>
    </w:p>
    <w:p>
      <w:pPr>
        <w:pStyle w:val="FirstParagraph"/>
      </w:pPr>
      <w:r>
        <w:t xml:space="preserve">Based on the comprehensive evaluation conducted for this</w:t>
      </w:r>
      <w:r>
        <w:t xml:space="preserve"> </w:t>
      </w:r>
      <w:r>
        <w:rPr>
          <w:bCs/>
          <w:b/>
        </w:rPr>
        <w:t xml:space="preserve">Peer Review Report</w:t>
      </w:r>
      <w:r>
        <w:t xml:space="preserve">, it is concluded that the</w:t>
      </w:r>
      <w:r>
        <w:t xml:space="preserve"> </w:t>
      </w:r>
      <w:r>
        <w:rPr>
          <w:bCs/>
          <w:b/>
        </w:rPr>
        <w:t xml:space="preserve">Surgeon</w:t>
      </w:r>
      <w:r>
        <w:t xml:space="preserve"> </w:t>
      </w:r>
      <w:r>
        <w:t xml:space="preserve">is a highly competent and dedicated medical professional. The</w:t>
      </w:r>
      <w:r>
        <w:t xml:space="preserve"> </w:t>
      </w:r>
      <w:r>
        <w:rPr>
          <w:bCs/>
          <w:b/>
        </w:rPr>
        <w:t xml:space="preserve">Surgeon</w:t>
      </w:r>
      <w:r>
        <w:t xml:space="preserve">'s clinical skills, ethical conduct, and commitment to patient care meet and often exceed the standards expected in</w:t>
      </w:r>
      <w:r>
        <w:t xml:space="preserve"> </w:t>
      </w:r>
      <w:r>
        <w:rPr>
          <w:bCs/>
          <w:b/>
        </w:rPr>
        <w:t xml:space="preserve">Japan Kyoto</w:t>
      </w:r>
      <w:r>
        <w:t xml:space="preserve">.</w:t>
      </w:r>
    </w:p>
    <w:p>
      <w:pPr>
        <w:pStyle w:val="BodyText"/>
      </w:pPr>
      <w:r>
        <w:rPr>
          <w:bCs/>
          <w:b/>
        </w:rPr>
        <w:t xml:space="preserve">Recommendations:</w:t>
      </w:r>
    </w:p>
    <w:p>
      <w:pPr>
        <w:numPr>
          <w:ilvl w:val="0"/>
          <w:numId w:val="1002"/>
        </w:numPr>
        <w:pStyle w:val="Compact"/>
      </w:pPr>
      <w:r>
        <w:t xml:space="preserve">Continue current clinical practices with a focus on maintaining low complication rates.</w:t>
      </w:r>
    </w:p>
    <w:p>
      <w:pPr>
        <w:numPr>
          <w:ilvl w:val="0"/>
          <w:numId w:val="1002"/>
        </w:numPr>
        <w:pStyle w:val="Compact"/>
      </w:pPr>
      <w:r>
        <w:t xml:space="preserve">Implement strategies to improve the timeliness of medical documentation.</w:t>
      </w:r>
    </w:p>
    <w:p>
      <w:pPr>
        <w:numPr>
          <w:ilvl w:val="0"/>
          <w:numId w:val="1002"/>
        </w:numPr>
        <w:pStyle w:val="Compact"/>
      </w:pPr>
      <w:r>
        <w:t xml:space="preserve">Engage in at least one research project or academic publication within the next 12 months.</w:t>
      </w:r>
    </w:p>
    <w:p>
      <w:pPr>
        <w:numPr>
          <w:ilvl w:val="0"/>
          <w:numId w:val="1002"/>
        </w:numPr>
        <w:pStyle w:val="Compact"/>
      </w:pPr>
      <w:r>
        <w:t xml:space="preserve">Participate in structured mentorship programs for surgical residents.</w:t>
      </w:r>
    </w:p>
    <w:p>
      <w:pPr>
        <w:pStyle w:val="FirstParagraph"/>
      </w:pPr>
      <w:r>
        <w:t xml:space="preserve">The</w:t>
      </w:r>
      <w:r>
        <w:t xml:space="preserve"> </w:t>
      </w:r>
      <w:r>
        <w:rPr>
          <w:bCs/>
          <w:b/>
        </w:rPr>
        <w:t xml:space="preserve">Surgeon</w:t>
      </w:r>
      <w:r>
        <w:t xml:space="preserve"> </w:t>
      </w:r>
      <w:r>
        <w:t xml:space="preserve">is recommended for continued practice privileges without restriction, subject to the implementation of the above recommendations. This</w:t>
      </w:r>
      <w:r>
        <w:t xml:space="preserve"> </w:t>
      </w:r>
      <w:r>
        <w:rPr>
          <w:bCs/>
          <w:b/>
        </w:rPr>
        <w:t xml:space="preserve">Peer Review Report</w:t>
      </w:r>
      <w:r>
        <w:t xml:space="preserve"> </w:t>
      </w:r>
      <w:r>
        <w:t xml:space="preserve">serves as a testament to the</w:t>
      </w:r>
      <w:r>
        <w:t xml:space="preserve"> </w:t>
      </w:r>
      <w:r>
        <w:rPr>
          <w:bCs/>
          <w:b/>
        </w:rPr>
        <w:t xml:space="preserve">Surgeon</w:t>
      </w:r>
      <w:r>
        <w:t xml:space="preserve">'s dedication to excellence in the vibrant medical community of</w:t>
      </w:r>
      <w:r>
        <w:t xml:space="preserve"> </w:t>
      </w:r>
      <w:r>
        <w:rPr>
          <w:bCs/>
          <w:b/>
        </w:rPr>
        <w:t xml:space="preserve">Japan Kyoto</w:t>
      </w:r>
      <w:r>
        <w:t xml:space="preserve">.</w:t>
      </w:r>
    </w:p>
    <w:bookmarkEnd w:id="31"/>
    <w:p>
      <w:pPr>
        <w:pStyle w:val="BodyText"/>
      </w:pPr>
      <w:r>
        <w:rPr>
          <w:bCs/>
          <w:b/>
        </w:rPr>
        <w:t xml:space="preserve">Reviewed By:</w:t>
      </w:r>
    </w:p>
    <w:p>
      <w:pPr>
        <w:pStyle w:val="BodyText"/>
      </w:pPr>
      <w:r>
        <w:t xml:space="preserve">Dr. Kenji Tanaka</w:t>
      </w:r>
    </w:p>
    <w:p>
      <w:pPr>
        <w:pStyle w:val="BodyText"/>
      </w:pPr>
      <w:r>
        <w:t xml:space="preserve">Chief of Surgery</w:t>
      </w:r>
    </w:p>
    <w:p>
      <w:pPr>
        <w:pStyle w:val="BodyText"/>
      </w:pPr>
      <w:r>
        <w:t xml:space="preserve">Kyoto University Hospital</w:t>
      </w:r>
    </w:p>
    <w:p>
      <w:pPr>
        <w:pStyle w:val="BodyText"/>
      </w:pPr>
      <w:r>
        <w:rPr>
          <w:bCs/>
          <w:b/>
        </w:rPr>
        <w:t xml:space="preserve">Approved By:</w:t>
      </w:r>
    </w:p>
    <w:p>
      <w:pPr>
        <w:pStyle w:val="BodyText"/>
      </w:pPr>
      <w:r>
        <w:t xml:space="preserve">Dr. Yuki Sato</w:t>
      </w:r>
    </w:p>
    <w:p>
      <w:pPr>
        <w:pStyle w:val="BodyText"/>
      </w:pPr>
      <w:r>
        <w:t xml:space="preserve">Director of Medical Quality</w:t>
      </w:r>
    </w:p>
    <w:p>
      <w:pPr>
        <w:pStyle w:val="BodyText"/>
      </w:pPr>
      <w:r>
        <w:t xml:space="preserve">Kyoto Prefectural Board of Medicine</w:t>
      </w:r>
    </w:p>
    <w:p>
      <w:pPr>
        <w:pStyle w:val="BodyText"/>
      </w:pPr>
      <w:r>
        <w:t xml:space="preserve">Confidential Document - For Internal Use Only. This Peer Review Report is protected under Japanese medical privacy laws.</w:t>
      </w:r>
    </w:p>
    <w:p>
      <w:pPr>
        <w:pStyle w:val="BodyText"/>
      </w:pPr>
      <w:r>
        <w:t xml:space="preserve">© 2023 Kyoto Medical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Japan Kyoto</dc:title>
  <dc:creator/>
  <dc:language>en</dc:language>
  <cp:keywords/>
  <dcterms:created xsi:type="dcterms:W3CDTF">2026-10-10T07:04:36Z</dcterms:created>
  <dcterms:modified xsi:type="dcterms:W3CDTF">2026-10-10T07:04:36Z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