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Surgeon</w:t>
      </w:r>
      <w:r>
        <w:t xml:space="preserve"> </w:t>
      </w:r>
      <w:r>
        <w:t xml:space="preserve">Credentialing</w:t>
      </w:r>
      <w:r>
        <w:t xml:space="preserve"> </w:t>
      </w:r>
      <w:r>
        <w:t xml:space="preserve">-</w:t>
      </w:r>
      <w:r>
        <w:t xml:space="preserve"> </w:t>
      </w:r>
      <w:r>
        <w:t xml:space="preserve">Osaka,</w:t>
      </w:r>
      <w:r>
        <w:t xml:space="preserve"> </w:t>
      </w:r>
      <w:r>
        <w:t xml:space="preserve">Japan</w:t>
      </w:r>
    </w:p>
    <w:bookmarkStart w:id="20" w:name="peer-review-report"/>
    <w:p>
      <w:pPr>
        <w:pStyle w:val="Heading1"/>
      </w:pPr>
      <w:r>
        <w:t xml:space="preserve">Peer Review Report</w:t>
      </w:r>
    </w:p>
    <w:p>
      <w:pPr>
        <w:pStyle w:val="FirstParagraph"/>
      </w:pPr>
      <w:r>
        <w:t xml:space="preserve">Professional Credentialing and Clinical Competency Assessment</w:t>
      </w:r>
    </w:p>
    <w:p>
      <w:pPr>
        <w:pStyle w:val="BodyText"/>
      </w:pPr>
      <w:r>
        <w:rPr>
          <w:bCs/>
          <w:b/>
        </w:rPr>
        <w:t xml:space="preserve">Report ID:</w:t>
      </w:r>
      <w:r>
        <w:t xml:space="preserve"> </w:t>
      </w:r>
      <w:r>
        <w:t xml:space="preserve">PR-OSK-2023-8942</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Japan Osaka</w:t>
      </w:r>
    </w:p>
    <w:p>
      <w:pPr>
        <w:pStyle w:val="BodyText"/>
      </w:pPr>
      <w:r>
        <w:rPr>
          <w:bCs/>
          <w:b/>
        </w:rPr>
        <w:t xml:space="preserve">Facility:</w:t>
      </w:r>
      <w:r>
        <w:t xml:space="preserve"> </w:t>
      </w:r>
      <w:r>
        <w:t xml:space="preserve">Osaka Metropolitan University Hospital</w:t>
      </w:r>
    </w:p>
    <w:p>
      <w:pPr>
        <w:pStyle w:val="BodyText"/>
      </w:pPr>
      <w:r>
        <w:rPr>
          <w:bCs/>
          <w:b/>
        </w:rPr>
        <w:t xml:space="preserve">Subject:</w:t>
      </w:r>
      <w:r>
        <w:t xml:space="preserve"> </w:t>
      </w:r>
      <w:r>
        <w:t xml:space="preserve">Dr. [Name Redacted], General Surgeon</w:t>
      </w:r>
    </w:p>
    <w:p>
      <w:pPr>
        <w:pStyle w:val="BodyText"/>
      </w:pPr>
      <w:r>
        <w:rPr>
          <w:bCs/>
          <w:b/>
        </w:rPr>
        <w:t xml:space="preserve">Review Type:</w:t>
      </w:r>
      <w:r>
        <w:t xml:space="preserve"> </w:t>
      </w:r>
      <w:r>
        <w:t xml:space="preserve">Initial Privileging</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documents the comprehensive evaluation of a</w:t>
      </w:r>
      <w:r>
        <w:t xml:space="preserve"> </w:t>
      </w:r>
      <w:r>
        <w:rPr>
          <w:bCs/>
          <w:b/>
        </w:rPr>
        <w:t xml:space="preserve">Surgeon</w:t>
      </w:r>
      <w:r>
        <w:t xml:space="preserve"> </w:t>
      </w:r>
      <w:r>
        <w:t xml:space="preserve">candidate seeking clinical privileges at a major medical institution in</w:t>
      </w:r>
      <w:r>
        <w:t xml:space="preserve"> </w:t>
      </w:r>
      <w:r>
        <w:rPr>
          <w:bCs/>
          <w:b/>
        </w:rPr>
        <w:t xml:space="preserve">Japan Osaka</w:t>
      </w:r>
      <w:r>
        <w:t xml:space="preserve">. The review process was conducted in strict adherence to the Japanese Medical Association guidelines and the specific bylaws of the Osaka Prefecture Medical Association. The objective was to verify the candidate's professional qualifications, clinical competence, ethical standing, and ability to integrate into the high-standard healthcare environment characteristic of Osaka's medical sector.</w:t>
      </w:r>
    </w:p>
    <w:p>
      <w:pPr>
        <w:pStyle w:val="BodyText"/>
      </w:pPr>
      <w:r>
        <w:t xml:space="preserve">Based on the analysis of medical records, surgical logs, and interviews with previous colleagues, the review committee has determined that the candidate meets the rigorous standards required for practice in this region. The following sections detail the methodology, findings, and final recommendations regarding this</w:t>
      </w:r>
      <w:r>
        <w:t xml:space="preserve"> </w:t>
      </w:r>
      <w:r>
        <w:rPr>
          <w:bCs/>
          <w:b/>
        </w:rPr>
        <w:t xml:space="preserve">Surgeon</w:t>
      </w:r>
      <w:r>
        <w:t xml:space="preserve">'s eligibility.</w:t>
      </w:r>
    </w:p>
    <w:bookmarkEnd w:id="21"/>
    <w:bookmarkStart w:id="22" w:name="X1f7cf9d9d33d55ed619b8ed6894ed0e3ceb5052"/>
    <w:p>
      <w:pPr>
        <w:pStyle w:val="Heading2"/>
      </w:pPr>
      <w:r>
        <w:t xml:space="preserve">2. Verification of Credentials and Licensure</w:t>
      </w:r>
    </w:p>
    <w:p>
      <w:pPr>
        <w:pStyle w:val="FirstParagraph"/>
      </w:pPr>
      <w:r>
        <w:t xml:space="preserve">The first phase of this</w:t>
      </w:r>
      <w:r>
        <w:t xml:space="preserve"> </w:t>
      </w:r>
      <w:r>
        <w:rPr>
          <w:bCs/>
          <w:b/>
        </w:rPr>
        <w:t xml:space="preserve">Peer Review Report</w:t>
      </w:r>
      <w:r>
        <w:t xml:space="preserve"> </w:t>
      </w:r>
      <w:r>
        <w:t xml:space="preserve">focused on validating the legal and educational qualifications of the</w:t>
      </w:r>
      <w:r>
        <w:t xml:space="preserve"> </w:t>
      </w:r>
      <w:r>
        <w:rPr>
          <w:bCs/>
          <w:b/>
        </w:rPr>
        <w:t xml:space="preserve">Surgeon</w:t>
      </w:r>
      <w:r>
        <w:t xml:space="preserve">. Given the regulatory landscape in</w:t>
      </w:r>
      <w:r>
        <w:t xml:space="preserve"> </w:t>
      </w:r>
      <w:r>
        <w:rPr>
          <w:bCs/>
          <w:b/>
        </w:rPr>
        <w:t xml:space="preserve">Japan Osaka</w:t>
      </w:r>
      <w:r>
        <w:t xml:space="preserve">, it is imperative that all foreign-trained or relocating physicians hold valid licensure from the Ministry of Health, Labour and Welfare (MHLW).</w:t>
      </w:r>
    </w:p>
    <w:p>
      <w:pPr>
        <w:pStyle w:val="BodyText"/>
      </w:pPr>
      <w:r>
        <w:t xml:space="preserve">The committee verified the following:</w:t>
      </w:r>
    </w:p>
    <w:p>
      <w:pPr>
        <w:numPr>
          <w:ilvl w:val="0"/>
          <w:numId w:val="1001"/>
        </w:numPr>
        <w:pStyle w:val="Compact"/>
      </w:pPr>
      <w:r>
        <w:rPr>
          <w:bCs/>
          <w:b/>
        </w:rPr>
        <w:t xml:space="preserve">Medical License:</w:t>
      </w:r>
      <w:r>
        <w:t xml:space="preserve"> </w:t>
      </w:r>
      <w:r>
        <w:t xml:space="preserve">Confirmed active status with the Osaka Prefectural Government. The license number was cross-referenced with the national database to ensure no history of suspension or revocation.</w:t>
      </w:r>
    </w:p>
    <w:p>
      <w:pPr>
        <w:numPr>
          <w:ilvl w:val="0"/>
          <w:numId w:val="1001"/>
        </w:numPr>
        <w:pStyle w:val="Compact"/>
      </w:pPr>
      <w:r>
        <w:rPr>
          <w:bCs/>
          <w:b/>
        </w:rPr>
        <w:t xml:space="preserve">Specialist Certification:</w:t>
      </w:r>
      <w:r>
        <w:t xml:space="preserve"> </w:t>
      </w:r>
      <w:r>
        <w:t xml:space="preserve">The candidate holds a Board Certification in General Surgery from the Japanese Society of Clinical Surgeons. This certification is highly regarded in</w:t>
      </w:r>
      <w:r>
        <w:t xml:space="preserve"> </w:t>
      </w:r>
      <w:r>
        <w:rPr>
          <w:bCs/>
          <w:b/>
        </w:rPr>
        <w:t xml:space="preserve">Japan Osaka</w:t>
      </w:r>
      <w:r>
        <w:t xml:space="preserve"> </w:t>
      </w:r>
      <w:r>
        <w:t xml:space="preserve">and signifies mastery of both theoretical knowledge and practical surgical skills.</w:t>
      </w:r>
    </w:p>
    <w:p>
      <w:pPr>
        <w:numPr>
          <w:ilvl w:val="0"/>
          <w:numId w:val="1001"/>
        </w:numPr>
        <w:pStyle w:val="Compact"/>
      </w:pPr>
      <w:r>
        <w:rPr>
          <w:bCs/>
          <w:b/>
        </w:rPr>
        <w:t xml:space="preserve">Education:</w:t>
      </w:r>
      <w:r>
        <w:t xml:space="preserve"> </w:t>
      </w:r>
      <w:r>
        <w:t xml:space="preserve">Graduation from an accredited medical school was confirmed. Post-graduate training includes a five-year residency program completed at a tertiary care center, ensuring exposure to complex cases typical of urban environments like Osaka.</w:t>
      </w:r>
    </w:p>
    <w:bookmarkEnd w:id="22"/>
    <w:bookmarkStart w:id="23" w:name="clinical-competency-and-surgical-volume"/>
    <w:p>
      <w:pPr>
        <w:pStyle w:val="Heading2"/>
      </w:pPr>
      <w:r>
        <w:t xml:space="preserve">3. Clinical Competency and Surgical Volume</w:t>
      </w:r>
    </w:p>
    <w:p>
      <w:pPr>
        <w:pStyle w:val="FirstParagraph"/>
      </w:pPr>
      <w:r>
        <w:t xml:space="preserve">A critical component of any</w:t>
      </w:r>
      <w:r>
        <w:t xml:space="preserve"> </w:t>
      </w:r>
      <w:r>
        <w:rPr>
          <w:bCs/>
          <w:b/>
        </w:rPr>
        <w:t xml:space="preserve">Peer Review Report</w:t>
      </w:r>
      <w:r>
        <w:t xml:space="preserve"> </w:t>
      </w:r>
      <w:r>
        <w:t xml:space="preserve">is the assessment of the</w:t>
      </w:r>
      <w:r>
        <w:t xml:space="preserve"> </w:t>
      </w:r>
      <w:r>
        <w:rPr>
          <w:bCs/>
          <w:b/>
        </w:rPr>
        <w:t xml:space="preserve">Surgeon</w:t>
      </w:r>
      <w:r>
        <w:t xml:space="preserve">'s operative history. The review committee analyzed the candidate's surgical logs from the previous three years. The data indicates a robust volume of procedures consistent with the expectations for a specialist practicing in a high-density medical hub like</w:t>
      </w:r>
      <w:r>
        <w:t xml:space="preserve"> </w:t>
      </w:r>
      <w:r>
        <w:rPr>
          <w:bCs/>
          <w:b/>
        </w:rPr>
        <w:t xml:space="preserve">Japan Osaka</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Procedure Category</w:t>
            </w:r>
          </w:p>
        </w:tc>
        <w:tc>
          <w:tcPr/>
          <w:p>
            <w:pPr>
              <w:pStyle w:val="Compact"/>
              <w:jc w:val="left"/>
            </w:pPr>
            <w:r>
              <w:t xml:space="preserve">Annual Volume (Avg)</w:t>
            </w:r>
          </w:p>
        </w:tc>
        <w:tc>
          <w:tcPr/>
          <w:p>
            <w:pPr>
              <w:pStyle w:val="Compact"/>
              <w:jc w:val="left"/>
            </w:pPr>
            <w:r>
              <w:t xml:space="preserve">Complication Rate</w:t>
            </w:r>
          </w:p>
        </w:tc>
        <w:tc>
          <w:tcPr/>
          <w:p>
            <w:pPr>
              <w:pStyle w:val="Compact"/>
              <w:jc w:val="left"/>
            </w:pPr>
            <w:r>
              <w:t xml:space="preserve">Assessment</w:t>
            </w:r>
          </w:p>
        </w:tc>
      </w:tr>
      <w:tr>
        <w:tc>
          <w:tcPr/>
          <w:p>
            <w:pPr>
              <w:pStyle w:val="Compact"/>
              <w:jc w:val="left"/>
            </w:pPr>
            <w:r>
              <w:t xml:space="preserve">Laparoscopic Cholecystectomy</w:t>
            </w:r>
          </w:p>
        </w:tc>
        <w:tc>
          <w:tcPr/>
          <w:p>
            <w:pPr>
              <w:pStyle w:val="Compact"/>
              <w:jc w:val="left"/>
            </w:pPr>
            <w:r>
              <w:t xml:space="preserve">45</w:t>
            </w:r>
          </w:p>
        </w:tc>
        <w:tc>
          <w:tcPr/>
          <w:p>
            <w:pPr>
              <w:pStyle w:val="Compact"/>
              <w:jc w:val="left"/>
            </w:pPr>
            <w:r>
              <w:t xml:space="preserve">1.2%</w:t>
            </w:r>
          </w:p>
        </w:tc>
        <w:tc>
          <w:tcPr/>
          <w:p>
            <w:pPr>
              <w:pStyle w:val="Compact"/>
              <w:jc w:val="left"/>
            </w:pPr>
            <w:r>
              <w:t xml:space="preserve">Excellent</w:t>
            </w:r>
          </w:p>
        </w:tc>
      </w:tr>
      <w:tr>
        <w:tc>
          <w:tcPr/>
          <w:p>
            <w:pPr>
              <w:pStyle w:val="Compact"/>
              <w:jc w:val="left"/>
            </w:pPr>
            <w:r>
              <w:t xml:space="preserve">Hernia Repair (Open/Lap)</w:t>
            </w:r>
          </w:p>
        </w:tc>
        <w:tc>
          <w:tcPr/>
          <w:p>
            <w:pPr>
              <w:pStyle w:val="Compact"/>
              <w:jc w:val="left"/>
            </w:pPr>
            <w:r>
              <w:t xml:space="preserve">30</w:t>
            </w:r>
          </w:p>
        </w:tc>
        <w:tc>
          <w:tcPr/>
          <w:p>
            <w:pPr>
              <w:pStyle w:val="Compact"/>
              <w:jc w:val="left"/>
            </w:pPr>
            <w:r>
              <w:t xml:space="preserve">0.8%</w:t>
            </w:r>
          </w:p>
        </w:tc>
        <w:tc>
          <w:tcPr/>
          <w:p>
            <w:pPr>
              <w:pStyle w:val="Compact"/>
              <w:jc w:val="left"/>
            </w:pPr>
            <w:r>
              <w:t xml:space="preserve">Excellent</w:t>
            </w:r>
          </w:p>
        </w:tc>
      </w:tr>
      <w:tr>
        <w:tc>
          <w:tcPr/>
          <w:p>
            <w:pPr>
              <w:pStyle w:val="Compact"/>
              <w:jc w:val="left"/>
            </w:pPr>
            <w:r>
              <w:t xml:space="preserve">Colectomy</w:t>
            </w:r>
          </w:p>
        </w:tc>
        <w:tc>
          <w:tcPr/>
          <w:p>
            <w:pPr>
              <w:pStyle w:val="Compact"/>
              <w:jc w:val="left"/>
            </w:pPr>
            <w:r>
              <w:t xml:space="preserve">15</w:t>
            </w:r>
          </w:p>
        </w:tc>
        <w:tc>
          <w:tcPr/>
          <w:p>
            <w:pPr>
              <w:pStyle w:val="Compact"/>
              <w:jc w:val="left"/>
            </w:pPr>
            <w:r>
              <w:t xml:space="preserve">2.5%</w:t>
            </w:r>
          </w:p>
        </w:tc>
        <w:tc>
          <w:tcPr/>
          <w:p>
            <w:pPr>
              <w:pStyle w:val="Compact"/>
              <w:jc w:val="left"/>
            </w:pPr>
            <w:r>
              <w:t xml:space="preserve">Acceptable</w:t>
            </w:r>
          </w:p>
        </w:tc>
      </w:tr>
      <w:tr>
        <w:tc>
          <w:tcPr/>
          <w:p>
            <w:pPr>
              <w:pStyle w:val="Compact"/>
              <w:jc w:val="left"/>
            </w:pPr>
            <w:r>
              <w:t xml:space="preserve">Emergency Trauma Surgery</w:t>
            </w:r>
          </w:p>
        </w:tc>
        <w:tc>
          <w:tcPr/>
          <w:p>
            <w:pPr>
              <w:pStyle w:val="Compact"/>
              <w:jc w:val="left"/>
            </w:pPr>
            <w:r>
              <w:t xml:space="preserve">10</w:t>
            </w:r>
          </w:p>
        </w:tc>
        <w:tc>
          <w:tcPr/>
          <w:p>
            <w:pPr>
              <w:pStyle w:val="Compact"/>
              <w:jc w:val="left"/>
            </w:pPr>
            <w:r>
              <w:t xml:space="preserve">3.0%</w:t>
            </w:r>
          </w:p>
        </w:tc>
        <w:tc>
          <w:tcPr/>
          <w:p>
            <w:pPr>
              <w:pStyle w:val="Compact"/>
              <w:jc w:val="left"/>
            </w:pPr>
            <w:r>
              <w:t xml:space="preserve">Acceptable</w:t>
            </w:r>
          </w:p>
        </w:tc>
      </w:tr>
    </w:tbl>
    <w:p>
      <w:pPr>
        <w:pStyle w:val="BodyText"/>
      </w:pPr>
      <w:r>
        <w:t xml:space="preserve">The complication rates are within or below the national averages for Japan. The</w:t>
      </w:r>
      <w:r>
        <w:t xml:space="preserve"> </w:t>
      </w:r>
      <w:r>
        <w:rPr>
          <w:bCs/>
          <w:b/>
        </w:rPr>
        <w:t xml:space="preserve">Surgeon</w:t>
      </w:r>
      <w:r>
        <w:t xml:space="preserve"> </w:t>
      </w:r>
      <w:r>
        <w:t xml:space="preserve">demonstrates proficiency in minimally invasive techniques, which are increasingly prioritized in Osaka's modern surgical centers.</w:t>
      </w:r>
    </w:p>
    <w:bookmarkEnd w:id="23"/>
    <w:bookmarkStart w:id="24" w:name="professional-conduct-and-peer-references"/>
    <w:p>
      <w:pPr>
        <w:pStyle w:val="Heading2"/>
      </w:pPr>
      <w:r>
        <w:t xml:space="preserve">4. Professional Conduct and Peer References</w:t>
      </w:r>
    </w:p>
    <w:p>
      <w:pPr>
        <w:pStyle w:val="FirstParagraph"/>
      </w:pPr>
      <w:r>
        <w:t xml:space="preserve">This</w:t>
      </w:r>
      <w:r>
        <w:t xml:space="preserve"> </w:t>
      </w:r>
      <w:r>
        <w:rPr>
          <w:bCs/>
          <w:b/>
        </w:rPr>
        <w:t xml:space="preserve">Peer Review Report</w:t>
      </w:r>
      <w:r>
        <w:t xml:space="preserve"> </w:t>
      </w:r>
      <w:r>
        <w:t xml:space="preserve">also evaluates the interpersonal and professional attributes of the</w:t>
      </w:r>
      <w:r>
        <w:t xml:space="preserve"> </w:t>
      </w:r>
      <w:r>
        <w:rPr>
          <w:bCs/>
          <w:b/>
        </w:rPr>
        <w:t xml:space="preserve">Surgeon</w:t>
      </w:r>
      <w:r>
        <w:t xml:space="preserve">. In the collaborative culture of</w:t>
      </w:r>
      <w:r>
        <w:t xml:space="preserve"> </w:t>
      </w:r>
      <w:r>
        <w:rPr>
          <w:bCs/>
          <w:b/>
        </w:rPr>
        <w:t xml:space="preserve">Japan Osaka</w:t>
      </w:r>
      <w:r>
        <w:t xml:space="preserve"> </w:t>
      </w:r>
      <w:r>
        <w:t xml:space="preserve">hospitals, effective communication and teamwork are as vital as technical skill.</w:t>
      </w:r>
    </w:p>
    <w:p>
      <w:pPr>
        <w:pStyle w:val="BodyText"/>
      </w:pPr>
      <w:r>
        <w:t xml:space="preserve">Confidential interviews were conducted with three former supervisors and two nursing staff members. The consensus was overwhelmingly positive. References highlighted the candidate's:</w:t>
      </w:r>
    </w:p>
    <w:p>
      <w:pPr>
        <w:numPr>
          <w:ilvl w:val="0"/>
          <w:numId w:val="1002"/>
        </w:numPr>
        <w:pStyle w:val="Compact"/>
      </w:pPr>
      <w:r>
        <w:rPr>
          <w:bCs/>
          <w:b/>
        </w:rPr>
        <w:t xml:space="preserve">Integrity:</w:t>
      </w:r>
      <w:r>
        <w:t xml:space="preserve"> </w:t>
      </w:r>
      <w:r>
        <w:t xml:space="preserve">No history of ethical violations, malpractice claims, or disciplinary actions.</w:t>
      </w:r>
    </w:p>
    <w:p>
      <w:pPr>
        <w:numPr>
          <w:ilvl w:val="0"/>
          <w:numId w:val="1002"/>
        </w:numPr>
        <w:pStyle w:val="Compact"/>
      </w:pPr>
      <w:r>
        <w:rPr>
          <w:bCs/>
          <w:b/>
        </w:rPr>
        <w:t xml:space="preserve">Teamwork:</w:t>
      </w:r>
      <w:r>
        <w:t xml:space="preserve"> </w:t>
      </w:r>
      <w:r>
        <w:t xml:space="preserve">Ability to work harmoniously with multidisciplinary teams, including anesthesiologists and oncologists.</w:t>
      </w:r>
    </w:p>
    <w:p>
      <w:pPr>
        <w:numPr>
          <w:ilvl w:val="0"/>
          <w:numId w:val="1002"/>
        </w:numPr>
        <w:pStyle w:val="Compact"/>
      </w:pPr>
      <w:r>
        <w:rPr>
          <w:bCs/>
          <w:b/>
        </w:rPr>
        <w:t xml:space="preserve">Patient Care:</w:t>
      </w:r>
      <w:r>
        <w:t xml:space="preserve"> </w:t>
      </w:r>
      <w:r>
        <w:t xml:space="preserve">Demonstrated empathy and clear communication with patients, adhering to the high standards of patient satisfaction expected in Osaka.</w:t>
      </w:r>
    </w:p>
    <w:bookmarkEnd w:id="24"/>
    <w:bookmarkStart w:id="25" w:name="compliance-with-local-regulations"/>
    <w:p>
      <w:pPr>
        <w:pStyle w:val="Heading2"/>
      </w:pPr>
      <w:r>
        <w:t xml:space="preserve">5. Compliance with Local Regulations</w:t>
      </w:r>
    </w:p>
    <w:p>
      <w:pPr>
        <w:pStyle w:val="FirstParagraph"/>
      </w:pPr>
      <w:r>
        <w:t xml:space="preserve">Practicing in</w:t>
      </w:r>
      <w:r>
        <w:t xml:space="preserve"> </w:t>
      </w:r>
      <w:r>
        <w:rPr>
          <w:bCs/>
          <w:b/>
        </w:rPr>
        <w:t xml:space="preserve">Japan Osaka</w:t>
      </w:r>
      <w:r>
        <w:t xml:space="preserve"> </w:t>
      </w:r>
      <w:r>
        <w:t xml:space="preserve">requires strict adherence to local health regulations and hospital protocols. This</w:t>
      </w:r>
      <w:r>
        <w:t xml:space="preserve"> </w:t>
      </w:r>
      <w:r>
        <w:rPr>
          <w:bCs/>
          <w:b/>
        </w:rPr>
        <w:t xml:space="preserve">Peer Review Report</w:t>
      </w:r>
      <w:r>
        <w:t xml:space="preserve"> </w:t>
      </w:r>
      <w:r>
        <w:t xml:space="preserve">confirms that the</w:t>
      </w:r>
      <w:r>
        <w:t xml:space="preserve"> </w:t>
      </w:r>
      <w:r>
        <w:rPr>
          <w:bCs/>
          <w:b/>
        </w:rPr>
        <w:t xml:space="preserve">Surgeon</w:t>
      </w:r>
      <w:r>
        <w:t xml:space="preserve"> </w:t>
      </w:r>
      <w:r>
        <w:t xml:space="preserve">has completed all necessary orientation modules, including:</w:t>
      </w:r>
    </w:p>
    <w:p>
      <w:pPr>
        <w:numPr>
          <w:ilvl w:val="0"/>
          <w:numId w:val="1003"/>
        </w:numPr>
        <w:pStyle w:val="Compact"/>
      </w:pPr>
      <w:r>
        <w:t xml:space="preserve">Infection control protocols specific to the facility.</w:t>
      </w:r>
    </w:p>
    <w:p>
      <w:pPr>
        <w:numPr>
          <w:ilvl w:val="0"/>
          <w:numId w:val="1003"/>
        </w:numPr>
        <w:pStyle w:val="Compact"/>
      </w:pPr>
      <w:r>
        <w:t xml:space="preserve">Data privacy laws (APPI) regarding patient information.</w:t>
      </w:r>
    </w:p>
    <w:p>
      <w:pPr>
        <w:numPr>
          <w:ilvl w:val="0"/>
          <w:numId w:val="1003"/>
        </w:numPr>
        <w:pStyle w:val="Compact"/>
      </w:pPr>
      <w:r>
        <w:t xml:space="preserve">Emergency response procedures relevant to the Osaka region.</w:t>
      </w:r>
    </w:p>
    <w:bookmarkEnd w:id="25"/>
    <w:bookmarkStart w:id="26" w:name="conclusion-and-recommendation"/>
    <w:p>
      <w:pPr>
        <w:pStyle w:val="Heading2"/>
      </w:pPr>
      <w:r>
        <w:t xml:space="preserve">6.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Surgeon</w:t>
      </w:r>
      <w:r>
        <w:t xml:space="preserve"> </w:t>
      </w:r>
      <w:r>
        <w:t xml:space="preserve">under review possesses the requisite education, licensure, clinical experience, and professional character to practice safely and effectively. The candidate's profile aligns well with the high-quality healthcare standards maintained in</w:t>
      </w:r>
      <w:r>
        <w:t xml:space="preserve"> </w:t>
      </w:r>
      <w:r>
        <w:rPr>
          <w:bCs/>
          <w:b/>
        </w:rPr>
        <w:t xml:space="preserve">Japan Osaka</w:t>
      </w:r>
      <w:r>
        <w:t xml:space="preserve">.</w:t>
      </w:r>
    </w:p>
    <w:p>
      <w:pPr>
        <w:pStyle w:val="BodyText"/>
      </w:pPr>
      <w:r>
        <w:rPr>
          <w:bCs/>
          <w:b/>
        </w:rPr>
        <w:t xml:space="preserve">Recommendation:</w:t>
      </w:r>
      <w:r>
        <w:t xml:space="preserve"> </w:t>
      </w:r>
      <w:r>
        <w:t xml:space="preserve">The Peer Review Committee unanimously recommends the granting of full clinical privileges for General Surgery, including laparoscopic procedures, effective immediately upon approval by the Medical Executive Committee.</w:t>
      </w:r>
    </w:p>
    <w:bookmarkEnd w:id="26"/>
    <w:p>
      <w:pPr>
        <w:pStyle w:val="BodyText"/>
      </w:pPr>
      <w:r>
        <w:rPr>
          <w:bCs/>
          <w:b/>
        </w:rPr>
        <w:t xml:space="preserve">Dr. Kenji Tanaka</w:t>
      </w:r>
      <w:r>
        <w:br/>
      </w:r>
      <w:r>
        <w:t xml:space="preserve">Chair, Peer Review Committee</w:t>
      </w:r>
      <w:r>
        <w:br/>
      </w:r>
      <w:r>
        <w:t xml:space="preserve">Osaka Metropolitan University Hospital</w:t>
      </w:r>
    </w:p>
    <w:p>
      <w:pPr>
        <w:pStyle w:val="BodyText"/>
      </w:pPr>
      <w:r>
        <w:rPr>
          <w:bCs/>
          <w:b/>
        </w:rPr>
        <w:t xml:space="preserve">Dr. Sarah Jenkins</w:t>
      </w:r>
      <w:r>
        <w:br/>
      </w:r>
      <w:r>
        <w:t xml:space="preserve">Senior Reviewer</w:t>
      </w:r>
      <w:r>
        <w:br/>
      </w:r>
      <w:r>
        <w:t xml:space="preserve">Department of Surgery</w:t>
      </w:r>
    </w:p>
    <w:p>
      <w:pPr>
        <w:pStyle w:val="BodyText"/>
      </w:pPr>
      <w:r>
        <w:t xml:space="preserve">Confidential Document - For Internal Use Only. This Peer Review Report is the property of Osaka Metropolitan University Hospital.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Surgeon Credentialing - Osaka, Japan</dc:title>
  <dc:creator/>
  <dc:language>en</dc:language>
  <cp:keywords/>
  <dcterms:created xsi:type="dcterms:W3CDTF">2026-10-10T04:24:40Z</dcterms:created>
  <dcterms:modified xsi:type="dcterms:W3CDTF">2026-10-10T04:24:40Z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