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Singapore</w:t>
      </w:r>
    </w:p>
    <w:bookmarkStart w:id="31" w:name="peer-review-report"/>
    <w:p>
      <w:pPr>
        <w:pStyle w:val="Heading1"/>
      </w:pPr>
      <w:r>
        <w:t xml:space="preserve">Peer Review Report</w:t>
      </w:r>
    </w:p>
    <w:p>
      <w:pPr>
        <w:pStyle w:val="FirstParagraph"/>
      </w:pPr>
      <w:r>
        <w:t xml:space="preserve">Assessment of Surgical Competence and Professional Practice</w:t>
      </w:r>
    </w:p>
    <w:p>
      <w:pPr>
        <w:pStyle w:val="BodyText"/>
      </w:pPr>
      <w:r>
        <w:t xml:space="preserve">Jurisdiction: Singapore</w:t>
      </w:r>
    </w:p>
    <w:bookmarkStart w:id="20" w:name="executive-summary"/>
    <w:p>
      <w:pPr>
        <w:pStyle w:val="Heading2"/>
      </w:pPr>
      <w:r>
        <w:t xml:space="preserve">1. Executive Summary</w:t>
      </w:r>
    </w:p>
    <w:p>
      <w:pPr>
        <w:pStyle w:val="FirstParagraph"/>
      </w:pPr>
      <w:r>
        <w:t xml:space="preserve">This Peer Review Report has been commissioned to evaluate the clinical performance, surgical proficiency, and professional conduct of a practicing Surgeon within the healthcare ecosystem of Singapore. The review aligns with the stringent standards set forth by the Singapore Medical Council (SMC) and the relevant surgical colleges, such as the Academy of Medicine, Singapore (AMS). The objective is to ensure that the Surgeon maintains the highest levels of patient safety, clinical excellence, and ethical integrity expected in Singapore’s world-class medical environment.</w:t>
      </w:r>
    </w:p>
    <w:p>
      <w:pPr>
        <w:pStyle w:val="BodyText"/>
      </w:pPr>
      <w:r>
        <w:t xml:space="preserve">The assessment covers a comprehensive analysis of surgical outcomes, adherence to clinical guidelines, peer feedback, and continuous professional development. The findings presented herein are intended to support quality improvement, accreditation processes, and the ongoing assurance of surgical standards in Singapore.</w:t>
      </w:r>
    </w:p>
    <w:bookmarkEnd w:id="20"/>
    <w:bookmarkStart w:id="21" w:name="surgeon-profile-and-scope-of-practice"/>
    <w:p>
      <w:pPr>
        <w:pStyle w:val="Heading2"/>
      </w:pPr>
      <w:r>
        <w:t xml:space="preserve">2. Surgeon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[Surgeon Name Redacted for Confidentiality]</w:t>
            </w:r>
          </w:p>
        </w:tc>
      </w:tr>
      <w:tr>
        <w:tc>
          <w:tcPr/>
          <w:p>
            <w:pPr>
              <w:pStyle w:val="Compact"/>
              <w:jc w:val="left"/>
            </w:pPr>
            <w:r>
              <w:t xml:space="preserve">Specialty</w:t>
            </w:r>
          </w:p>
        </w:tc>
        <w:tc>
          <w:tcPr/>
          <w:p>
            <w:pPr>
              <w:pStyle w:val="Compact"/>
              <w:jc w:val="left"/>
            </w:pPr>
            <w:r>
              <w:t xml:space="preserve">General Surgery / Sub-specialty (e.g., Colorectal, Vascular)</w:t>
            </w:r>
          </w:p>
        </w:tc>
      </w:tr>
      <w:tr>
        <w:tc>
          <w:tcPr/>
          <w:p>
            <w:pPr>
              <w:pStyle w:val="Compact"/>
              <w:jc w:val="left"/>
            </w:pPr>
            <w:r>
              <w:t xml:space="preserve">Practice Location</w:t>
            </w:r>
          </w:p>
        </w:tc>
        <w:tc>
          <w:tcPr/>
          <w:p>
            <w:pPr>
              <w:pStyle w:val="Compact"/>
              <w:jc w:val="left"/>
            </w:pPr>
            <w:r>
              <w:t xml:space="preserve">Major Public/Private Hospital, Singapore</w:t>
            </w:r>
          </w:p>
        </w:tc>
      </w:tr>
      <w:tr>
        <w:tc>
          <w:tcPr/>
          <w:p>
            <w:pPr>
              <w:pStyle w:val="Compact"/>
              <w:jc w:val="left"/>
            </w:pPr>
            <w:r>
              <w:t xml:space="preserve">SMC Registration Status</w:t>
            </w:r>
          </w:p>
        </w:tc>
        <w:tc>
          <w:tcPr/>
          <w:p>
            <w:pPr>
              <w:pStyle w:val="Compact"/>
              <w:jc w:val="left"/>
            </w:pPr>
            <w:r>
              <w:t xml:space="preserve">Active and Valid</w:t>
            </w:r>
          </w:p>
        </w:tc>
      </w:tr>
      <w:tr>
        <w:tc>
          <w:tcPr/>
          <w:p>
            <w:pPr>
              <w:pStyle w:val="Compact"/>
              <w:jc w:val="left"/>
            </w:pPr>
            <w:r>
              <w:t xml:space="preserve">Years of Experience</w:t>
            </w:r>
          </w:p>
        </w:tc>
        <w:tc>
          <w:tcPr/>
          <w:p>
            <w:pPr>
              <w:pStyle w:val="Compact"/>
              <w:jc w:val="left"/>
            </w:pPr>
            <w:r>
              <w:t xml:space="preserve">Over 15 years</w:t>
            </w:r>
          </w:p>
        </w:tc>
      </w:tr>
    </w:tbl>
    <w:bookmarkEnd w:id="21"/>
    <w:bookmarkStart w:id="22" w:name="methodology-of-review"/>
    <w:p>
      <w:pPr>
        <w:pStyle w:val="Heading2"/>
      </w:pPr>
      <w:r>
        <w:t xml:space="preserve">3. Methodology of Review</w:t>
      </w:r>
    </w:p>
    <w:p>
      <w:pPr>
        <w:pStyle w:val="FirstParagraph"/>
      </w:pPr>
      <w:r>
        <w:t xml:space="preserve">The Peer Review Report was conducted using a multi-faceted approach consistent with international best practices and local regulatory requirements in Singapore. The methodology included:</w:t>
      </w:r>
    </w:p>
    <w:p>
      <w:pPr>
        <w:numPr>
          <w:ilvl w:val="0"/>
          <w:numId w:val="1001"/>
        </w:numPr>
        <w:pStyle w:val="Compact"/>
      </w:pPr>
      <w:r>
        <w:rPr>
          <w:bCs/>
          <w:b/>
        </w:rPr>
        <w:t xml:space="preserve">Clinical Audit:</w:t>
      </w:r>
      <w:r>
        <w:t xml:space="preserve"> </w:t>
      </w:r>
      <w:r>
        <w:t xml:space="preserve">A retrospective review of 100 surgical cases performed by the Surgeon over the past 24 months, focusing on complication rates, mortality rates, and adherence to surgical checklists.</w:t>
      </w:r>
    </w:p>
    <w:p>
      <w:pPr>
        <w:numPr>
          <w:ilvl w:val="0"/>
          <w:numId w:val="1001"/>
        </w:numPr>
        <w:pStyle w:val="Compact"/>
      </w:pPr>
      <w:r>
        <w:rPr>
          <w:bCs/>
          <w:b/>
        </w:rPr>
        <w:t xml:space="preserve">Peer Interviews:</w:t>
      </w:r>
      <w:r>
        <w:t xml:space="preserve"> </w:t>
      </w:r>
      <w:r>
        <w:t xml:space="preserve">Structured interviews with multidisciplinary team members, including anesthetists, nurses, and junior surgeons, to assess teamwork, communication, and leadership.</w:t>
      </w:r>
    </w:p>
    <w:p>
      <w:pPr>
        <w:numPr>
          <w:ilvl w:val="0"/>
          <w:numId w:val="1001"/>
        </w:numPr>
        <w:pStyle w:val="Compact"/>
      </w:pPr>
      <w:r>
        <w:rPr>
          <w:bCs/>
          <w:b/>
        </w:rPr>
        <w:t xml:space="preserve">Patient Feedback:</w:t>
      </w:r>
      <w:r>
        <w:t xml:space="preserve"> </w:t>
      </w:r>
      <w:r>
        <w:t xml:space="preserve">Analysis of patient satisfaction surveys and complaints lodged with the hospital administration.</w:t>
      </w:r>
    </w:p>
    <w:p>
      <w:pPr>
        <w:numPr>
          <w:ilvl w:val="0"/>
          <w:numId w:val="1001"/>
        </w:numPr>
        <w:pStyle w:val="Compact"/>
      </w:pPr>
      <w:r>
        <w:rPr>
          <w:bCs/>
          <w:b/>
        </w:rPr>
        <w:t xml:space="preserve">Documentation Review:</w:t>
      </w:r>
      <w:r>
        <w:t xml:space="preserve"> </w:t>
      </w:r>
      <w:r>
        <w:t xml:space="preserve">Examination of operative notes, consent forms, and post-operative care plans for completeness and accuracy.</w:t>
      </w:r>
    </w:p>
    <w:bookmarkEnd w:id="22"/>
    <w:bookmarkStart w:id="25" w:name="Xa882c91f75d1156c5c30bb9424ac172a97c732a"/>
    <w:p>
      <w:pPr>
        <w:pStyle w:val="Heading2"/>
      </w:pPr>
      <w:r>
        <w:t xml:space="preserve">4. Clinical Competence and Surgical Outcomes</w:t>
      </w:r>
    </w:p>
    <w:bookmarkStart w:id="23" w:name="technical-proficiency"/>
    <w:p>
      <w:pPr>
        <w:pStyle w:val="Heading3"/>
      </w:pPr>
      <w:r>
        <w:t xml:space="preserve">4.1 Technical Proficiency</w:t>
      </w:r>
    </w:p>
    <w:p>
      <w:pPr>
        <w:pStyle w:val="FirstParagraph"/>
      </w:pPr>
      <w:r>
        <w:t xml:space="preserve">The Surgeon demonstrates a high level of technical proficiency in both open and minimally invasive surgical techniques. The review of operative videos and case notes indicates precise execution of complex procedures. The Surgeon is well-versed in the latest surgical technologies available in Singapore, including robotic-assisted surgery, where applicable.</w:t>
      </w:r>
    </w:p>
    <w:bookmarkEnd w:id="23"/>
    <w:bookmarkStart w:id="24" w:name="patient-safety-and-outcomes"/>
    <w:p>
      <w:pPr>
        <w:pStyle w:val="Heading3"/>
      </w:pPr>
      <w:r>
        <w:t xml:space="preserve">4.2 Patient Safety and Outcomes</w:t>
      </w:r>
    </w:p>
    <w:p>
      <w:pPr>
        <w:pStyle w:val="FirstParagraph"/>
      </w:pPr>
      <w:r>
        <w:t xml:space="preserve">The complication rates observed in the audited cases are within the acceptable range compared to national benchmarks in Singapore. There were no preventable adverse events identified. The Surgeon consistently adheres to the World Health Organization (WHO) Surgical Safety Checklist, a mandatory requirement in Singaporean hospitals. Infection control protocols are strictly followed, contributing to low surgical site infection rates.</w:t>
      </w:r>
    </w:p>
    <w:bookmarkEnd w:id="24"/>
    <w:bookmarkEnd w:id="25"/>
    <w:bookmarkStart w:id="26" w:name="professional-conduct-and-ethics"/>
    <w:p>
      <w:pPr>
        <w:pStyle w:val="Heading2"/>
      </w:pPr>
      <w:r>
        <w:t xml:space="preserve">5. Professional Conduct and Ethics</w:t>
      </w:r>
    </w:p>
    <w:p>
      <w:pPr>
        <w:pStyle w:val="FirstParagraph"/>
      </w:pPr>
      <w:r>
        <w:t xml:space="preserve">The Surgeon exhibits exemplary professional conduct, aligning with the Ethical Code and Ethical Guidelines of the Singapore Medical Council. Key observations include:</w:t>
      </w:r>
    </w:p>
    <w:p>
      <w:pPr>
        <w:numPr>
          <w:ilvl w:val="0"/>
          <w:numId w:val="1002"/>
        </w:numPr>
        <w:pStyle w:val="Compact"/>
      </w:pPr>
      <w:r>
        <w:rPr>
          <w:bCs/>
          <w:b/>
        </w:rPr>
        <w:t xml:space="preserve">Informed Consent:</w:t>
      </w:r>
      <w:r>
        <w:t xml:space="preserve"> </w:t>
      </w:r>
      <w:r>
        <w:t xml:space="preserve">The Surgeon ensures that patients are fully informed about the risks, benefits, and alternatives of surgical procedures. Consent documentation is thorough and patient-friendly.</w:t>
      </w:r>
    </w:p>
    <w:p>
      <w:pPr>
        <w:numPr>
          <w:ilvl w:val="0"/>
          <w:numId w:val="1002"/>
        </w:numPr>
        <w:pStyle w:val="Compact"/>
      </w:pPr>
      <w:r>
        <w:rPr>
          <w:bCs/>
          <w:b/>
        </w:rPr>
        <w:t xml:space="preserve">Confidentiality:</w:t>
      </w:r>
      <w:r>
        <w:t xml:space="preserve"> </w:t>
      </w:r>
      <w:r>
        <w:t xml:space="preserve">Strict adherence to patient confidentiality and data protection laws in Singapore.</w:t>
      </w:r>
    </w:p>
    <w:p>
      <w:pPr>
        <w:numPr>
          <w:ilvl w:val="0"/>
          <w:numId w:val="1002"/>
        </w:numPr>
        <w:pStyle w:val="Compact"/>
      </w:pPr>
      <w:r>
        <w:rPr>
          <w:bCs/>
          <w:b/>
        </w:rPr>
        <w:t xml:space="preserve">Conflict of Interest:</w:t>
      </w:r>
      <w:r>
        <w:t xml:space="preserve"> </w:t>
      </w:r>
      <w:r>
        <w:t xml:space="preserve">No undisclosed conflicts of interest were identified regarding pharmaceutical or medical device sponsorships.</w:t>
      </w:r>
    </w:p>
    <w:bookmarkEnd w:id="26"/>
    <w:bookmarkStart w:id="27" w:name="communication-and-teamwork"/>
    <w:p>
      <w:pPr>
        <w:pStyle w:val="Heading2"/>
      </w:pPr>
      <w:r>
        <w:t xml:space="preserve">6. Communication and Teamwork</w:t>
      </w:r>
    </w:p>
    <w:p>
      <w:pPr>
        <w:pStyle w:val="FirstParagraph"/>
      </w:pPr>
      <w:r>
        <w:t xml:space="preserve">Effective communication is critical in the high-pressure environment of Singapore’s healthcare system. The Surgeon is rated highly by peers for clear communication, collaborative decision-making, and respectful interaction with all levels of staff. The Surgeon actively participates in multidisciplinary team (MDT) meetings, contributing valuable insights to patient care plans.</w:t>
      </w:r>
    </w:p>
    <w:bookmarkEnd w:id="27"/>
    <w:bookmarkStart w:id="28" w:name="continuous-professional-development-cpd"/>
    <w:p>
      <w:pPr>
        <w:pStyle w:val="Heading2"/>
      </w:pPr>
      <w:r>
        <w:t xml:space="preserve">7. Continuous Professional Development (CPD)</w:t>
      </w:r>
    </w:p>
    <w:p>
      <w:pPr>
        <w:pStyle w:val="FirstParagraph"/>
      </w:pPr>
      <w:r>
        <w:t xml:space="preserve">The Surgeon is committed to lifelong learning and maintains an active CPD portfolio as required by the SMC. Recent activities include:</w:t>
      </w:r>
    </w:p>
    <w:p>
      <w:pPr>
        <w:numPr>
          <w:ilvl w:val="0"/>
          <w:numId w:val="1003"/>
        </w:numPr>
        <w:pStyle w:val="Compact"/>
      </w:pPr>
      <w:r>
        <w:t xml:space="preserve">Attendance at national and international surgical conferences.</w:t>
      </w:r>
    </w:p>
    <w:p>
      <w:pPr>
        <w:numPr>
          <w:ilvl w:val="0"/>
          <w:numId w:val="1003"/>
        </w:numPr>
        <w:pStyle w:val="Compact"/>
      </w:pPr>
      <w:r>
        <w:t xml:space="preserve">Participation in simulation-based training workshops.</w:t>
      </w:r>
    </w:p>
    <w:p>
      <w:pPr>
        <w:numPr>
          <w:ilvl w:val="0"/>
          <w:numId w:val="1003"/>
        </w:numPr>
        <w:pStyle w:val="Compact"/>
      </w:pPr>
      <w:r>
        <w:t xml:space="preserve">Publication of research papers in peer-reviewed journals.</w:t>
      </w:r>
    </w:p>
    <w:p>
      <w:pPr>
        <w:numPr>
          <w:ilvl w:val="0"/>
          <w:numId w:val="1003"/>
        </w:numPr>
        <w:pStyle w:val="Compact"/>
      </w:pPr>
      <w:r>
        <w:t xml:space="preserve">Mentoring of junior surgeons and medical students.</w:t>
      </w:r>
    </w:p>
    <w:bookmarkEnd w:id="28"/>
    <w:bookmarkStart w:id="29" w:name="areas-for-improvement"/>
    <w:p>
      <w:pPr>
        <w:pStyle w:val="Heading2"/>
      </w:pPr>
      <w:r>
        <w:t xml:space="preserve">8. Areas for Improvement</w:t>
      </w:r>
    </w:p>
    <w:p>
      <w:pPr>
        <w:pStyle w:val="FirstParagraph"/>
      </w:pPr>
      <w:r>
        <w:t xml:space="preserve">While the Surgeon’s performance is largely commendable, the following areas were identified for potential enhancement:</w:t>
      </w:r>
    </w:p>
    <w:p>
      <w:pPr>
        <w:numPr>
          <w:ilvl w:val="0"/>
          <w:numId w:val="1004"/>
        </w:numPr>
        <w:pStyle w:val="Compact"/>
      </w:pPr>
      <w:r>
        <w:rPr>
          <w:bCs/>
          <w:b/>
        </w:rPr>
        <w:t xml:space="preserve">Documentation Timeliness:</w:t>
      </w:r>
      <w:r>
        <w:t xml:space="preserve"> </w:t>
      </w:r>
      <w:r>
        <w:t xml:space="preserve">In a small percentage of cases, operative notes were completed slightly beyond the recommended timeframe. Improving this would enhance record-keeping efficiency.</w:t>
      </w:r>
    </w:p>
    <w:p>
      <w:pPr>
        <w:numPr>
          <w:ilvl w:val="0"/>
          <w:numId w:val="1004"/>
        </w:numPr>
        <w:pStyle w:val="Compact"/>
      </w:pPr>
      <w:r>
        <w:rPr>
          <w:bCs/>
          <w:b/>
        </w:rPr>
        <w:t xml:space="preserve">Research Output:</w:t>
      </w:r>
      <w:r>
        <w:t xml:space="preserve"> </w:t>
      </w:r>
      <w:r>
        <w:t xml:space="preserve">Encouraging greater involvement in clinical trials or collaborative research projects could further contribute to the advancement of surgical practice in Singapore.</w:t>
      </w:r>
    </w:p>
    <w:bookmarkEnd w:id="29"/>
    <w:bookmarkStart w:id="30" w:name="conclusion-and-recommendations"/>
    <w:p>
      <w:pPr>
        <w:pStyle w:val="Heading2"/>
      </w:pPr>
      <w:r>
        <w:t xml:space="preserve">9. Conclusion and Recommendations</w:t>
      </w:r>
    </w:p>
    <w:p>
      <w:pPr>
        <w:pStyle w:val="FirstParagraph"/>
      </w:pPr>
      <w:r>
        <w:t xml:space="preserve">Based on the comprehensive evaluation conducted for this Peer Review Report, the Surgeon is deemed to be fully competent and fit to practice in Singapore. The Surgeon meets and, in many areas, exceeds the standards expected by the Singapore Medical Council and the relevant surgical colleges.</w:t>
      </w:r>
    </w:p>
    <w:p>
      <w:pPr>
        <w:pStyle w:val="BodyText"/>
      </w:pPr>
      <w:r>
        <w:rPr>
          <w:bCs/>
          <w:b/>
        </w:rPr>
        <w:t xml:space="preserve">Recommendations:</w:t>
      </w:r>
    </w:p>
    <w:p>
      <w:pPr>
        <w:numPr>
          <w:ilvl w:val="0"/>
          <w:numId w:val="1005"/>
        </w:numPr>
        <w:pStyle w:val="Compact"/>
      </w:pPr>
      <w:r>
        <w:t xml:space="preserve">Continue current practices in patient safety and surgical excellence.</w:t>
      </w:r>
    </w:p>
    <w:p>
      <w:pPr>
        <w:numPr>
          <w:ilvl w:val="0"/>
          <w:numId w:val="1005"/>
        </w:numPr>
        <w:pStyle w:val="Compact"/>
      </w:pPr>
      <w:r>
        <w:t xml:space="preserve">Address the minor documentation delays to ensure optimal administrative compliance.</w:t>
      </w:r>
    </w:p>
    <w:p>
      <w:pPr>
        <w:numPr>
          <w:ilvl w:val="0"/>
          <w:numId w:val="1005"/>
        </w:numPr>
        <w:pStyle w:val="Compact"/>
      </w:pPr>
      <w:r>
        <w:t xml:space="preserve">Undertake the next cycle of Peer Review in three years, or sooner if required by regulatory changes.</w:t>
      </w:r>
    </w:p>
    <w:p>
      <w:pPr>
        <w:pStyle w:val="FirstParagraph"/>
      </w:pPr>
      <w:r>
        <w:t xml:space="preserve">This report serves as a testament to the Surgeon’s dedication to providing high-quality surgical care in Singapore and contributes to the ongoing commitment of excellence in the nation’s healthcare system.</w:t>
      </w:r>
    </w:p>
    <w:p>
      <w:pPr>
        <w:pStyle w:val="BodyText"/>
      </w:pPr>
      <w:r>
        <w:rPr>
          <w:bCs/>
          <w:b/>
        </w:rPr>
        <w:t xml:space="preserve">Report Prepared By:</w:t>
      </w:r>
    </w:p>
    <w:p>
      <w:pPr>
        <w:pStyle w:val="BodyText"/>
      </w:pPr>
      <w:r>
        <w:t xml:space="preserve">Dr. [Reviewer Name], MBBS, FRCS</w:t>
      </w:r>
    </w:p>
    <w:p>
      <w:pPr>
        <w:pStyle w:val="BodyText"/>
      </w:pPr>
      <w:r>
        <w:t xml:space="preserve">Senior Peer Reviewer, Surgical Quality Assurance Committee</w:t>
      </w:r>
    </w:p>
    <w:p>
      <w:pPr>
        <w:pStyle w:val="BodyText"/>
      </w:pPr>
      <w:r>
        <w:t xml:space="preserve">Singapore</w:t>
      </w:r>
    </w:p>
    <w:p>
      <w:pPr>
        <w:pStyle w:val="BodyText"/>
      </w:pPr>
      <w:r>
        <w:rPr>
          <w:bCs/>
          <w:b/>
        </w:rPr>
        <w:t xml:space="preserve">Date:</w:t>
      </w:r>
      <w:r>
        <w:t xml:space="preserve"> </w:t>
      </w:r>
      <w:r>
        <w:t xml:space="preserve">[Current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Singapore</dc:title>
  <dc:creator/>
  <dc:language>en</dc:language>
  <cp:keywords/>
  <dcterms:created xsi:type="dcterms:W3CDTF">2026-10-10T07:04:42Z</dcterms:created>
  <dcterms:modified xsi:type="dcterms:W3CDTF">2026-10-10T07:04:42Z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