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Systems</w:t>
      </w:r>
      <w:r>
        <w:t xml:space="preserve"> </w:t>
      </w:r>
      <w:r>
        <w:t xml:space="preserve">Engineer</w:t>
      </w:r>
      <w:r>
        <w:t xml:space="preserve"> </w:t>
      </w:r>
      <w:r>
        <w:t xml:space="preserve">-</w:t>
      </w:r>
      <w:r>
        <w:t xml:space="preserve"> </w:t>
      </w:r>
      <w:r>
        <w:t xml:space="preserve">Moscow,</w:t>
      </w:r>
      <w:r>
        <w:t xml:space="preserve"> </w:t>
      </w:r>
      <w:r>
        <w:t xml:space="preserve">Russia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Systems Engineer Performance Evaluation</w:t>
      </w:r>
    </w:p>
    <w:p>
      <w:pPr>
        <w:pStyle w:val="BodyText"/>
      </w:pPr>
      <w:r>
        <w:rPr>
          <w:bCs/>
          <w:b/>
        </w:rPr>
        <w:t xml:space="preserve">Location:</w:t>
      </w:r>
      <w:r>
        <w:t xml:space="preserve"> </w:t>
      </w:r>
      <w:r>
        <w:t xml:space="preserve">Moscow, Russia</w:t>
      </w:r>
    </w:p>
    <w:bookmarkEnd w:id="20"/>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Q3 2023 - Q4 2023</w:t>
      </w:r>
    </w:p>
    <w:p>
      <w:pPr>
        <w:pStyle w:val="BodyText"/>
      </w:pPr>
      <w:r>
        <w:rPr>
          <w:bCs/>
          <w:b/>
        </w:rPr>
        <w:t xml:space="preserve">Employee Name:</w:t>
      </w:r>
      <w:r>
        <w:t xml:space="preserve"> </w:t>
      </w:r>
      <w:r>
        <w:t xml:space="preserve">[Redacted for Privacy]</w:t>
      </w:r>
    </w:p>
    <w:p>
      <w:pPr>
        <w:pStyle w:val="BodyText"/>
      </w:pPr>
      <w:r>
        <w:rPr>
          <w:bCs/>
          <w:b/>
        </w:rPr>
        <w:t xml:space="preserve">Department:</w:t>
      </w:r>
      <w:r>
        <w:t xml:space="preserve"> </w:t>
      </w:r>
      <w:r>
        <w:t xml:space="preserve">IT Infrastructure &amp; Systems Architecture</w:t>
      </w:r>
    </w:p>
    <w:p>
      <w:pPr>
        <w:pStyle w:val="BodyText"/>
      </w:pPr>
      <w:r>
        <w:rPr>
          <w:bCs/>
          <w:b/>
        </w:rPr>
        <w:t xml:space="preserve">Reviewer Name:</w:t>
      </w:r>
      <w:r>
        <w:t xml:space="preserve"> </w:t>
      </w:r>
      <w:r>
        <w:t xml:space="preserve">Senior Technical Lead</w:t>
      </w:r>
    </w:p>
    <w:p>
      <w:pPr>
        <w:pStyle w:val="BodyText"/>
      </w:pPr>
      <w:r>
        <w:rPr>
          <w:bCs/>
          <w:b/>
        </w:rPr>
        <w:t xml:space="preserve">Project Context:</w:t>
      </w:r>
      <w:r>
        <w:t xml:space="preserve"> </w:t>
      </w:r>
      <w:r>
        <w:t xml:space="preserve">Enterprise Resource Planning (ERP) Migration</w:t>
      </w:r>
    </w:p>
    <w:bookmarkStart w:id="21" w:name="executive-summary"/>
    <w:p>
      <w:pPr>
        <w:pStyle w:val="Heading2"/>
      </w:pPr>
      <w:r>
        <w:t xml:space="preserve">1. Executive Summary</w:t>
      </w:r>
    </w:p>
    <w:p>
      <w:pPr>
        <w:pStyle w:val="FirstParagraph"/>
      </w:pPr>
      <w:r>
        <w:t xml:space="preserve">This Peer Review Report evaluates the professional performance, technical competency, and collaborative effectiveness of the Systems Engineer assigned to the Moscow office operations. The review focuses on the engineer's contribution to the ongoing digital transformation initiatives within the Russian market. The subject has demonstrated a robust understanding of complex system architectures and has successfully navigated the unique technical and regulatory challenges present in the Moscow IT sector. Overall, the engineer's performance is rated as "Exceeds Expectations" regarding technical delivery, with specific recommendations for improvement in cross-functional communication protocols.</w:t>
      </w:r>
    </w:p>
    <w:bookmarkEnd w:id="21"/>
    <w:bookmarkStart w:id="22" w:name="X4917507e9c4a66814f354009bd23757b435235b"/>
    <w:p>
      <w:pPr>
        <w:pStyle w:val="Heading2"/>
      </w:pPr>
      <w:r>
        <w:t xml:space="preserve">2. Technical Competency and Systems Architecture</w:t>
      </w:r>
    </w:p>
    <w:p>
      <w:pPr>
        <w:pStyle w:val="FirstParagraph"/>
      </w:pPr>
      <w:r>
        <w:t xml:space="preserve">The core responsibility of a Systems Engineer in this context involves the design, implementation, and maintenance of integrated hardware and software solutions. During the review period, the engineer displayed exceptional proficiency in managing high-availability clusters and optimizing database performance for local latency requirements.</w:t>
      </w:r>
    </w:p>
    <w:p>
      <w:pPr>
        <w:pStyle w:val="BodyText"/>
      </w:pPr>
      <w:r>
        <w:t xml:space="preserve">Specifically, the engineer led the migration of legacy on-premise servers to a hybrid cloud environment compliant with Russian data sovereignty laws (Federal Law No. 242-FZ). This required a deep understanding of both international best practices and local regulatory constraints. The engineer successfully configured load balancers and implemented redundancy measures that reduced system downtime by 40% compared to the previous quarter. Furthermore, the implementation of automated CI/CD pipelines significantly accelerated the deployment cycle for the Moscow development team.</w:t>
      </w:r>
    </w:p>
    <w:bookmarkEnd w:id="22"/>
    <w:bookmarkStart w:id="23" w:name="X708de5965942e8869a564af710a0fc9b05df9fb"/>
    <w:p>
      <w:pPr>
        <w:pStyle w:val="Heading2"/>
      </w:pPr>
      <w:r>
        <w:t xml:space="preserve">3. Adaptability to the Moscow Operational Environment</w:t>
      </w:r>
    </w:p>
    <w:p>
      <w:pPr>
        <w:pStyle w:val="FirstParagraph"/>
      </w:pPr>
      <w:r>
        <w:t xml:space="preserve">Operating in Russia Moscow presents distinct challenges, including specific software localization needs, hardware supply chain considerations, and strict cybersecurity mandates. The Systems Engineer under review has shown remarkable adaptability to these conditions.</w:t>
      </w:r>
    </w:p>
    <w:p>
      <w:pPr>
        <w:pStyle w:val="BodyText"/>
      </w:pPr>
      <w:r>
        <w:t xml:space="preserve">The engineer proactively addressed the transition to domestic software ecosystems where necessary, ensuring compatibility with international standards. They demonstrated strong problem-solving skills when dealing with intermittent connectivity issues affecting remote sites across the Moscow region. Additionally, the engineer collaborated closely with local vendors to ensure hardware procurement aligned with the project timeline, mitigating risks associated with global supply chain disruptions. This localized approach has been critical in maintaining operational continuity.</w:t>
      </w:r>
    </w:p>
    <w:bookmarkEnd w:id="23"/>
    <w:bookmarkStart w:id="24" w:name="collaboration-and-communication"/>
    <w:p>
      <w:pPr>
        <w:pStyle w:val="Heading2"/>
      </w:pPr>
      <w:r>
        <w:t xml:space="preserve">4. Collaboration and Communication</w:t>
      </w:r>
    </w:p>
    <w:p>
      <w:pPr>
        <w:pStyle w:val="FirstParagraph"/>
      </w:pPr>
      <w:r>
        <w:t xml:space="preserve">Effective communication is vital for a Systems Engineer who acts as a bridge between development, operations, and business stakeholders. The subject has maintained a professional and cooperative attitude with the Moscow-based team.</w:t>
      </w:r>
    </w:p>
    <w:p>
      <w:pPr>
        <w:pStyle w:val="BodyText"/>
      </w:pPr>
      <w:r>
        <w:t xml:space="preserve">Strengths include clear documentation of system configurations and incident reports, which are accessible to the entire team. The engineer actively participates in daily stand-ups and technical workshops. However, there is room for improvement in translating highly technical concepts for non-technical stakeholders. On two occasions, complex architectural decisions were not sufficiently explained to the project managers, leading to minor misalignments in expectations. Future focus should be placed on enhancing stakeholder management skills to ensure broader alignment across the organization.</w:t>
      </w:r>
    </w:p>
    <w:bookmarkEnd w:id="24"/>
    <w:bookmarkStart w:id="25" w:name="performance-metrics-and-kpis"/>
    <w:p>
      <w:pPr>
        <w:pStyle w:val="Heading2"/>
      </w:pPr>
      <w:r>
        <w:t xml:space="preserve">5. Performance Metrics and KPIs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Performance Indicator (KPI)</w:t>
            </w:r>
          </w:p>
        </w:tc>
        <w:tc>
          <w:tcPr/>
          <w:p>
            <w:pPr>
              <w:pStyle w:val="Compact"/>
              <w:jc w:val="left"/>
            </w:pPr>
            <w:r>
              <w:t xml:space="preserve">Target</w:t>
            </w:r>
          </w:p>
        </w:tc>
        <w:tc>
          <w:tcPr/>
          <w:p>
            <w:pPr>
              <w:pStyle w:val="Compact"/>
              <w:jc w:val="left"/>
            </w:pPr>
            <w:r>
              <w:t xml:space="preserve">Achieved</w:t>
            </w:r>
          </w:p>
        </w:tc>
        <w:tc>
          <w:tcPr/>
          <w:p>
            <w:pPr>
              <w:pStyle w:val="Compact"/>
              <w:jc w:val="left"/>
            </w:pPr>
            <w:r>
              <w:t xml:space="preserve">Rating</w:t>
            </w:r>
          </w:p>
        </w:tc>
      </w:tr>
      <w:tr>
        <w:tc>
          <w:tcPr/>
          <w:p>
            <w:pPr>
              <w:pStyle w:val="Compact"/>
              <w:jc w:val="left"/>
            </w:pPr>
            <w:r>
              <w:t xml:space="preserve">System Uptime (SLA Compliance)</w:t>
            </w:r>
          </w:p>
        </w:tc>
        <w:tc>
          <w:tcPr/>
          <w:p>
            <w:pPr>
              <w:pStyle w:val="Compact"/>
              <w:jc w:val="left"/>
            </w:pPr>
            <w:r>
              <w:t xml:space="preserve">99.9%</w:t>
            </w:r>
          </w:p>
        </w:tc>
        <w:tc>
          <w:tcPr/>
          <w:p>
            <w:pPr>
              <w:pStyle w:val="Compact"/>
              <w:jc w:val="left"/>
            </w:pPr>
            <w:r>
              <w:t xml:space="preserve">99.95%</w:t>
            </w:r>
          </w:p>
        </w:tc>
        <w:tc>
          <w:tcPr/>
          <w:p>
            <w:pPr>
              <w:pStyle w:val="Compact"/>
              <w:jc w:val="left"/>
            </w:pPr>
            <w:r>
              <w:t xml:space="preserve">Exceeds</w:t>
            </w:r>
          </w:p>
        </w:tc>
      </w:tr>
      <w:tr>
        <w:tc>
          <w:tcPr/>
          <w:p>
            <w:pPr>
              <w:pStyle w:val="Compact"/>
              <w:jc w:val="left"/>
            </w:pPr>
            <w:r>
              <w:t xml:space="preserve">Incident Resolution Time</w:t>
            </w:r>
          </w:p>
        </w:tc>
        <w:tc>
          <w:tcPr/>
          <w:p>
            <w:pPr>
              <w:pStyle w:val="Compact"/>
              <w:jc w:val="left"/>
            </w:pPr>
            <w:r>
              <w:t xml:space="preserve">&lt; 4 Hours</w:t>
            </w:r>
          </w:p>
        </w:tc>
        <w:tc>
          <w:tcPr/>
          <w:p>
            <w:pPr>
              <w:pStyle w:val="Compact"/>
              <w:jc w:val="left"/>
            </w:pPr>
            <w:r>
              <w:t xml:space="preserve">3.2 Hours</w:t>
            </w:r>
          </w:p>
        </w:tc>
        <w:tc>
          <w:tcPr/>
          <w:p>
            <w:pPr>
              <w:pStyle w:val="Compact"/>
              <w:jc w:val="left"/>
            </w:pPr>
            <w:r>
              <w:t xml:space="preserve">Exceeds</w:t>
            </w:r>
          </w:p>
        </w:tc>
      </w:tr>
      <w:tr>
        <w:tc>
          <w:tcPr/>
          <w:p>
            <w:pPr>
              <w:pStyle w:val="Compact"/>
              <w:jc w:val="left"/>
            </w:pPr>
            <w:r>
              <w:t xml:space="preserve">Project Milestone Adherence</w:t>
            </w:r>
          </w:p>
        </w:tc>
        <w:tc>
          <w:tcPr/>
          <w:p>
            <w:pPr>
              <w:pStyle w:val="Compact"/>
              <w:jc w:val="left"/>
            </w:pPr>
            <w:r>
              <w:t xml:space="preserve">100%</w:t>
            </w:r>
          </w:p>
        </w:tc>
        <w:tc>
          <w:tcPr/>
          <w:p>
            <w:pPr>
              <w:pStyle w:val="Compact"/>
              <w:jc w:val="left"/>
            </w:pPr>
            <w:r>
              <w:t xml:space="preserve">95%</w:t>
            </w:r>
          </w:p>
        </w:tc>
        <w:tc>
          <w:tcPr/>
          <w:p>
            <w:pPr>
              <w:pStyle w:val="Compact"/>
              <w:jc w:val="left"/>
            </w:pPr>
            <w:r>
              <w:t xml:space="preserve">Meets</w:t>
            </w:r>
          </w:p>
        </w:tc>
      </w:tr>
      <w:tr>
        <w:tc>
          <w:tcPr/>
          <w:p>
            <w:pPr>
              <w:pStyle w:val="Compact"/>
              <w:jc w:val="left"/>
            </w:pPr>
            <w:r>
              <w:t xml:space="preserve">Documentation Completeness</w:t>
            </w:r>
          </w:p>
        </w:tc>
        <w:tc>
          <w:tcPr/>
          <w:p>
            <w:pPr>
              <w:pStyle w:val="Compact"/>
              <w:jc w:val="left"/>
            </w:pPr>
            <w:r>
              <w:t xml:space="preserve">100%</w:t>
            </w:r>
          </w:p>
        </w:tc>
        <w:tc>
          <w:tcPr/>
          <w:p>
            <w:pPr>
              <w:pStyle w:val="Compact"/>
              <w:jc w:val="left"/>
            </w:pPr>
            <w:r>
              <w:t xml:space="preserve">100%</w:t>
            </w:r>
          </w:p>
        </w:tc>
        <w:tc>
          <w:tcPr/>
          <w:p>
            <w:pPr>
              <w:pStyle w:val="Compact"/>
              <w:jc w:val="left"/>
            </w:pPr>
            <w:r>
              <w:t xml:space="preserve">Exceeds</w:t>
            </w:r>
          </w:p>
        </w:tc>
      </w:tr>
      <w:tr>
        <w:tc>
          <w:tcPr/>
          <w:p>
            <w:pPr>
              <w:pStyle w:val="Compact"/>
              <w:jc w:val="left"/>
            </w:pPr>
            <w:r>
              <w:t xml:space="preserve">Security Audit Pass Rate</w:t>
            </w:r>
          </w:p>
        </w:tc>
        <w:tc>
          <w:tcPr/>
          <w:p>
            <w:pPr>
              <w:pStyle w:val="Compact"/>
              <w:jc w:val="left"/>
            </w:pPr>
            <w:r>
              <w:t xml:space="preserve">100%</w:t>
            </w:r>
          </w:p>
        </w:tc>
        <w:tc>
          <w:tcPr/>
          <w:p>
            <w:pPr>
              <w:pStyle w:val="Compact"/>
              <w:jc w:val="left"/>
            </w:pPr>
            <w:r>
              <w:t xml:space="preserve">100%</w:t>
            </w:r>
          </w:p>
        </w:tc>
        <w:tc>
          <w:tcPr/>
          <w:p>
            <w:pPr>
              <w:pStyle w:val="Compact"/>
              <w:jc w:val="left"/>
            </w:pPr>
            <w:r>
              <w:t xml:space="preserve">Exceeds</w:t>
            </w:r>
          </w:p>
        </w:tc>
      </w:tr>
    </w:tbl>
    <w:bookmarkEnd w:id="25"/>
    <w:bookmarkStart w:id="26" w:name="areas-for-improvement"/>
    <w:p>
      <w:pPr>
        <w:pStyle w:val="Heading2"/>
      </w:pPr>
      <w:r>
        <w:t xml:space="preserve">6. Areas for Improvement</w:t>
      </w:r>
    </w:p>
    <w:p>
      <w:pPr>
        <w:numPr>
          <w:ilvl w:val="0"/>
          <w:numId w:val="1001"/>
        </w:numPr>
        <w:pStyle w:val="Compact"/>
      </w:pPr>
      <w:r>
        <w:rPr>
          <w:bCs/>
          <w:b/>
        </w:rPr>
        <w:t xml:space="preserve">Stakeholder Communication:</w:t>
      </w:r>
      <w:r>
        <w:t xml:space="preserve"> </w:t>
      </w:r>
      <w:r>
        <w:t xml:space="preserve">Enhance the ability to present technical risks and architectural trade-offs to non-technical management in clear, concise language.</w:t>
      </w:r>
    </w:p>
    <w:p>
      <w:pPr>
        <w:numPr>
          <w:ilvl w:val="0"/>
          <w:numId w:val="1001"/>
        </w:numPr>
        <w:pStyle w:val="Compact"/>
      </w:pPr>
      <w:r>
        <w:rPr>
          <w:bCs/>
          <w:b/>
        </w:rPr>
        <w:t xml:space="preserve">Knowledge Sharing:</w:t>
      </w:r>
      <w:r>
        <w:t xml:space="preserve"> </w:t>
      </w:r>
      <w:r>
        <w:t xml:space="preserve">Increase the frequency of internal training sessions for junior engineers in the Moscow office to foster team growth and reduce dependency on senior staff.</w:t>
      </w:r>
    </w:p>
    <w:p>
      <w:pPr>
        <w:numPr>
          <w:ilvl w:val="0"/>
          <w:numId w:val="1001"/>
        </w:numPr>
        <w:pStyle w:val="Compact"/>
      </w:pPr>
      <w:r>
        <w:rPr>
          <w:bCs/>
          <w:b/>
        </w:rPr>
        <w:t xml:space="preserve">Strategic Planning:</w:t>
      </w:r>
      <w:r>
        <w:t xml:space="preserve"> </w:t>
      </w:r>
      <w:r>
        <w:t xml:space="preserve">Move beyond reactive problem-solving to more proactive capacity planning and long-term infrastructure strategy development.</w:t>
      </w:r>
    </w:p>
    <w:bookmarkEnd w:id="26"/>
    <w:bookmarkStart w:id="27" w:name="conclusion-and-recommendations"/>
    <w:p>
      <w:pPr>
        <w:pStyle w:val="Heading2"/>
      </w:pPr>
      <w:r>
        <w:t xml:space="preserve">7. Conclusion and Recommendations</w:t>
      </w:r>
    </w:p>
    <w:p>
      <w:pPr>
        <w:pStyle w:val="FirstParagraph"/>
      </w:pPr>
      <w:r>
        <w:t xml:space="preserve">The Systems Engineer has proven to be a valuable asset to the Moscow operations. Their technical expertise, combined with a strong work ethic and adaptability to the local Russian market environment, has directly contributed to the stability and efficiency of our IT infrastructure. The successful navigation of regulatory requirements and the optimization of system performance highlight their high level of competence.</w:t>
      </w:r>
    </w:p>
    <w:p>
      <w:pPr>
        <w:pStyle w:val="BodyText"/>
      </w:pPr>
      <w:r>
        <w:t xml:space="preserve">It is recommended that the engineer be considered for a promotion to Senior Systems Engineer, contingent upon addressing the communication gaps identified in this Peer Review Report. A structured mentorship program focusing on leadership and stakeholder management is suggested for the next review period.</w:t>
      </w:r>
    </w:p>
    <w:p>
      <w:pPr>
        <w:pStyle w:val="BodyText"/>
      </w:pPr>
      <w:r>
        <w:rPr>
          <w:bCs/>
          <w:b/>
        </w:rPr>
        <w:t xml:space="preserve">Reviewer Signature:</w:t>
      </w:r>
    </w:p>
    <w:p>
      <w:pPr>
        <w:pStyle w:val="BodyText"/>
      </w:pPr>
      <w:r>
        <w:t xml:space="preserve">[Digital Signature]</w:t>
      </w:r>
    </w:p>
    <w:p>
      <w:pPr>
        <w:pStyle w:val="BodyText"/>
      </w:pPr>
      <w:r>
        <w:t xml:space="preserve">Senior Technical Lead</w:t>
      </w:r>
    </w:p>
    <w:p>
      <w:pPr>
        <w:pStyle w:val="BodyText"/>
      </w:pPr>
      <w:r>
        <w:rPr>
          <w:bCs/>
          <w:b/>
        </w:rPr>
        <w:t xml:space="preserve">Employee Acknowledgment:</w:t>
      </w:r>
    </w:p>
    <w:p>
      <w:pPr>
        <w:pStyle w:val="BodyText"/>
      </w:pPr>
      <w:r>
        <w:t xml:space="preserve">[Digital Signature]</w:t>
      </w:r>
    </w:p>
    <w:p>
      <w:pPr>
        <w:pStyle w:val="BodyText"/>
      </w:pPr>
      <w:r>
        <w:t xml:space="preserve">Systems Engineer</w:t>
      </w:r>
    </w:p>
    <w:p>
      <w:pPr>
        <w:pStyle w:val="BodyText"/>
      </w:pPr>
      <w:r>
        <w:t xml:space="preserve">© 2023 Corporate IT Department. Confidential Document. Moscow, Russia.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Systems Engineer - Moscow, Russia</dc:title>
  <dc:creator/>
  <dc:language>en</dc:language>
  <cp:keywords/>
  <dcterms:created xsi:type="dcterms:W3CDTF">2026-10-10T04:11:31Z</dcterms:created>
  <dcterms:modified xsi:type="dcterms:W3CDTF">2026-10-10T04:11:31Z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