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t xml:space="preserve">Professional Practice Observation &amp; Evaluation</w:t>
      </w:r>
    </w:p>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Primary</w:t>
      </w:r>
    </w:p>
    <w:p>
      <w:pPr>
        <w:pStyle w:val="BodyText"/>
      </w:pPr>
      <w:r>
        <w:rPr>
          <w:bCs/>
          <w:b/>
        </w:rPr>
        <w:t xml:space="preserve">Reviewer Name:</w:t>
      </w:r>
      <w:r>
        <w:t xml:space="preserve"> </w:t>
      </w:r>
      <w:r>
        <w:t xml:space="preserve">[Insert Reviewer Name]</w:t>
      </w:r>
    </w:p>
    <w:p>
      <w:pPr>
        <w:pStyle w:val="BodyText"/>
      </w:pPr>
      <w:r>
        <w:rPr>
          <w:bCs/>
          <w:b/>
        </w:rPr>
        <w:t xml:space="preserve">Location:</w:t>
      </w:r>
      <w:r>
        <w:t xml:space="preserve"> </w:t>
      </w:r>
      <w:r>
        <w:t xml:space="preserve">Brisbane, Australia</w:t>
      </w:r>
    </w:p>
    <w:p>
      <w:pPr>
        <w:pStyle w:val="BodyText"/>
      </w:pPr>
      <w:r>
        <w:rPr>
          <w:bCs/>
          <w:b/>
        </w:rPr>
        <w:t xml:space="preserve">Date of Review:</w:t>
      </w:r>
      <w:r>
        <w:t xml:space="preserve"> </w:t>
      </w:r>
      <w:r>
        <w:t xml:space="preserve">[Insert Date]</w:t>
      </w:r>
    </w:p>
    <w:p>
      <w:pPr>
        <w:pStyle w:val="BodyText"/>
      </w:pPr>
      <w:r>
        <w:rPr>
          <w:bCs/>
          <w:b/>
        </w:rPr>
        <w:t xml:space="preserve">Year Level:</w:t>
      </w:r>
      <w:r>
        <w:t xml:space="preserve"> </w:t>
      </w:r>
      <w:r>
        <w:t xml:space="preserve">[Insert Year Level]</w:t>
      </w:r>
    </w:p>
    <w:p>
      <w:pPr>
        <w:pStyle w:val="BodyText"/>
      </w:pPr>
      <w:r>
        <w:rPr>
          <w:bCs/>
          <w:b/>
        </w:rPr>
        <w:t xml:space="preserve">Duration:</w:t>
      </w:r>
      <w:r>
        <w:t xml:space="preserve"> </w:t>
      </w:r>
      <w:r>
        <w:t xml:space="preserve">[Insert Duration]</w:t>
      </w:r>
    </w:p>
    <w:p>
      <w:pPr>
        <w:pStyle w:val="BodyText"/>
      </w:pPr>
      <w:r>
        <w:rPr>
          <w:bCs/>
          <w:b/>
        </w:rPr>
        <w:t xml:space="preserve">Context:</w:t>
      </w:r>
      <w:r>
        <w:t xml:space="preserve"> </w:t>
      </w:r>
      <w:r>
        <w:t xml:space="preserve">[Insert Context]</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expected of a Teacher Primary within the educational landscape of Australia Brisbane. The purpose of this review is to provide constructive, evidence-based feedback regarding pedagogical practice, classroom management, and curriculum implementation. The review aligns with the Australian Professional Standards for Teachers (APST) and the specific expectations of the Queensland Curriculum and Assessment Authority (QCAA).</w:t>
      </w:r>
    </w:p>
    <w:p>
      <w:pPr>
        <w:pStyle w:val="BodyText"/>
      </w:pPr>
      <w:r>
        <w:t xml:space="preserve">The observation focused on a lesson delivered in a primary classroom setting in Brisbane, examining how the teacher engages students, manages the learning environment, and differentiates instruction to meet diverse learning needs. The review process is collaborative, aiming to foster professional growth and ensure high-quality educational outcomes for all students.</w:t>
      </w:r>
    </w:p>
    <w:bookmarkEnd w:id="21"/>
    <w:bookmarkStart w:id="22" w:name="Xe1a7f15f361ae3c8504eb475e5a02828321e4fb"/>
    <w:p>
      <w:pPr>
        <w:pStyle w:val="Heading2"/>
      </w:pPr>
      <w:r>
        <w:t xml:space="preserve">2. Alignment with Australian Professional Standards</w:t>
      </w:r>
    </w:p>
    <w:p>
      <w:pPr>
        <w:pStyle w:val="FirstParagraph"/>
      </w:pPr>
      <w:r>
        <w:t xml:space="preserve">The evaluation of the Teacher Primary is grounded in the APST framework. The following standards were specifically observed during the session:</w:t>
      </w:r>
    </w:p>
    <w:p>
      <w:pPr>
        <w:numPr>
          <w:ilvl w:val="0"/>
          <w:numId w:val="1001"/>
        </w:numPr>
        <w:pStyle w:val="Compact"/>
      </w:pPr>
      <w:r>
        <w:rPr>
          <w:bCs/>
          <w:b/>
        </w:rPr>
        <w:t xml:space="preserve">Standard 1: Know students and how they learn.</w:t>
      </w:r>
      <w:r>
        <w:t xml:space="preserve"> </w:t>
      </w:r>
      <w:r>
        <w:t xml:space="preserve">The teacher demonstrated an understanding of the developmental stages of primary students in Brisbane, incorporating culturally responsive teaching strategies relevant to the local community.</w:t>
      </w:r>
    </w:p>
    <w:p>
      <w:pPr>
        <w:numPr>
          <w:ilvl w:val="0"/>
          <w:numId w:val="1001"/>
        </w:numPr>
        <w:pStyle w:val="Compact"/>
      </w:pPr>
      <w:r>
        <w:rPr>
          <w:bCs/>
          <w:b/>
        </w:rPr>
        <w:t xml:space="preserve">Standard 2: Know the content and how to teach it.</w:t>
      </w:r>
      <w:r>
        <w:t xml:space="preserve"> </w:t>
      </w:r>
      <w:r>
        <w:t xml:space="preserve">The lesson content was accurate and aligned with the Australian Curriculum. The teacher utilized effective pedagogical strategies to make complex concepts accessible to young learners.</w:t>
      </w:r>
    </w:p>
    <w:p>
      <w:pPr>
        <w:numPr>
          <w:ilvl w:val="0"/>
          <w:numId w:val="1001"/>
        </w:numPr>
        <w:pStyle w:val="Compact"/>
      </w:pPr>
      <w:r>
        <w:rPr>
          <w:bCs/>
          <w:b/>
        </w:rPr>
        <w:t xml:space="preserve">Standard 3: Plan for and implement effective teaching and learning.</w:t>
      </w:r>
      <w:r>
        <w:t xml:space="preserve"> </w:t>
      </w:r>
      <w:r>
        <w:t xml:space="preserve">The lesson was well-structured with clear learning intentions and success criteria, ensuring students understood the purpose of their learning.</w:t>
      </w:r>
    </w:p>
    <w:p>
      <w:pPr>
        <w:numPr>
          <w:ilvl w:val="0"/>
          <w:numId w:val="1001"/>
        </w:numPr>
        <w:pStyle w:val="Compact"/>
      </w:pPr>
      <w:r>
        <w:rPr>
          <w:bCs/>
          <w:b/>
        </w:rPr>
        <w:t xml:space="preserve">Standard 4: Create and maintain supportive and safe learning environments.</w:t>
      </w:r>
      <w:r>
        <w:t xml:space="preserve"> </w:t>
      </w:r>
      <w:r>
        <w:t xml:space="preserve">The classroom environment was inclusive, respectful, and conducive to learning, reflecting the values of Australian primary education.</w:t>
      </w:r>
    </w:p>
    <w:bookmarkEnd w:id="22"/>
    <w:bookmarkStart w:id="27" w:name="detailed-observations"/>
    <w:p>
      <w:pPr>
        <w:pStyle w:val="Heading2"/>
      </w:pPr>
      <w:r>
        <w:t xml:space="preserve">3. Detailed Observations</w:t>
      </w:r>
    </w:p>
    <w:bookmarkStart w:id="23" w:name="lesson-planning-and-preparation"/>
    <w:p>
      <w:pPr>
        <w:pStyle w:val="Heading3"/>
      </w:pPr>
      <w:r>
        <w:t xml:space="preserve">3.1 Lesson Planning and Preparation</w:t>
      </w:r>
    </w:p>
    <w:p>
      <w:pPr>
        <w:pStyle w:val="FirstParagraph"/>
      </w:pPr>
      <w:r>
        <w:t xml:space="preserve">The Teacher Primary demonstrated thorough preparation. The lesson plan was clearly aligned with the Australian Curriculum for the specific year level. Resources were organized and ready for use, minimizing downtime and maximizing instructional time. The learning intentions were explicitly stated at the beginning of the lesson, and success criteria were co-constructed with students, promoting student agency. The teacher effectively integrated cross-curriculum priorities, such as Aboriginal and Torres Strait Islander histories and cultures, which is essential in the Brisbane context.</w:t>
      </w:r>
    </w:p>
    <w:bookmarkEnd w:id="23"/>
    <w:bookmarkStart w:id="24" w:name="instructional-strategies-and-engagement"/>
    <w:p>
      <w:pPr>
        <w:pStyle w:val="Heading3"/>
      </w:pPr>
      <w:r>
        <w:t xml:space="preserve">3.2 Instructional Strategies and Engagement</w:t>
      </w:r>
    </w:p>
    <w:p>
      <w:pPr>
        <w:pStyle w:val="FirstParagraph"/>
      </w:pPr>
      <w:r>
        <w:t xml:space="preserve">A variety of instructional strategies were employed to engage students. The teacher utilized direct instruction, guided practice, and independent work, ensuring a balanced approach. Questioning techniques were effective, ranging from recall questions to higher-order thinking questions that encouraged critical analysis. The teacher successfully differentiated instruction, providing scaffolding for students who required additional support and extension activities for advanced learners. This differentiation is crucial in a diverse primary classroom in Australia Brisbane, where students come from varied backgrounds and have different learning needs.</w:t>
      </w:r>
    </w:p>
    <w:bookmarkEnd w:id="24"/>
    <w:bookmarkStart w:id="25" w:name="classroom-management-and-environment"/>
    <w:p>
      <w:pPr>
        <w:pStyle w:val="Heading3"/>
      </w:pPr>
      <w:r>
        <w:t xml:space="preserve">3.3 Classroom Management and Environment</w:t>
      </w:r>
    </w:p>
    <w:p>
      <w:pPr>
        <w:pStyle w:val="FirstParagraph"/>
      </w:pPr>
      <w:r>
        <w:t xml:space="preserve">The classroom environment was positive and orderly. The Teacher Primary established clear routines and expectations, which were consistently enforced. Transitions between activities were smooth and efficient. The teacher used positive reinforcement to encourage desired behaviors and addressed minor disruptions calmly and effectively. The physical layout of the classroom facilitated collaboration and movement, supporting active learning. The teacher fostered a sense of community and belonging, ensuring all students felt valued and respected.</w:t>
      </w:r>
    </w:p>
    <w:bookmarkEnd w:id="25"/>
    <w:bookmarkStart w:id="26" w:name="assessment-and-feedback"/>
    <w:p>
      <w:pPr>
        <w:pStyle w:val="Heading3"/>
      </w:pPr>
      <w:r>
        <w:t xml:space="preserve">3.4 Assessment and Feedback</w:t>
      </w:r>
    </w:p>
    <w:p>
      <w:pPr>
        <w:pStyle w:val="FirstParagraph"/>
      </w:pPr>
      <w:r>
        <w:t xml:space="preserve">Formative assessment was integrated throughout the lesson. The teacher used questioning, observation, and student work samples to monitor understanding. Feedback was timely, specific, and actionable, helping students to improve their learning. The teacher encouraged self-assessment and peer assessment, developing students' metacognitive skills. This approach aligns with best practices in primary education in Australia, where assessment for learning is prioritized.</w:t>
      </w:r>
    </w:p>
    <w:bookmarkEnd w:id="26"/>
    <w:bookmarkEnd w:id="27"/>
    <w:bookmarkStart w:id="28" w:name="strengths"/>
    <w:p>
      <w:pPr>
        <w:pStyle w:val="Heading2"/>
      </w:pPr>
      <w:r>
        <w:t xml:space="preserve">4. Strengths</w:t>
      </w:r>
    </w:p>
    <w:p>
      <w:pPr>
        <w:numPr>
          <w:ilvl w:val="0"/>
          <w:numId w:val="1002"/>
        </w:numPr>
        <w:pStyle w:val="Compact"/>
      </w:pPr>
      <w:r>
        <w:rPr>
          <w:bCs/>
          <w:b/>
        </w:rPr>
        <w:t xml:space="preserve">Strong Relationships:</w:t>
      </w:r>
      <w:r>
        <w:t xml:space="preserve"> </w:t>
      </w:r>
      <w:r>
        <w:t xml:space="preserve">The Teacher Primary has built strong, positive relationships with students, creating a safe and supportive learning environment.</w:t>
      </w:r>
    </w:p>
    <w:p>
      <w:pPr>
        <w:numPr>
          <w:ilvl w:val="0"/>
          <w:numId w:val="1002"/>
        </w:numPr>
        <w:pStyle w:val="Compact"/>
      </w:pPr>
      <w:r>
        <w:rPr>
          <w:bCs/>
          <w:b/>
        </w:rPr>
        <w:t xml:space="preserve">Curriculum Knowledge:</w:t>
      </w:r>
      <w:r>
        <w:t xml:space="preserve"> </w:t>
      </w:r>
      <w:r>
        <w:t xml:space="preserve">Demonstrates a deep understanding of the Australian Curriculum and the QCAA requirements for primary education.</w:t>
      </w:r>
    </w:p>
    <w:p>
      <w:pPr>
        <w:numPr>
          <w:ilvl w:val="0"/>
          <w:numId w:val="1002"/>
        </w:numPr>
        <w:pStyle w:val="Compact"/>
      </w:pPr>
      <w:r>
        <w:rPr>
          <w:bCs/>
          <w:b/>
        </w:rPr>
        <w:t xml:space="preserve">Engaging Pedagogy:</w:t>
      </w:r>
      <w:r>
        <w:t xml:space="preserve"> </w:t>
      </w:r>
      <w:r>
        <w:t xml:space="preserve">Uses a variety of engaging and interactive teaching strategies that cater to different learning styles.</w:t>
      </w:r>
    </w:p>
    <w:p>
      <w:pPr>
        <w:numPr>
          <w:ilvl w:val="0"/>
          <w:numId w:val="1002"/>
        </w:numPr>
        <w:pStyle w:val="Compact"/>
      </w:pPr>
      <w:r>
        <w:rPr>
          <w:bCs/>
          <w:b/>
        </w:rPr>
        <w:t xml:space="preserve">Cultural Responsiveness:</w:t>
      </w:r>
      <w:r>
        <w:t xml:space="preserve"> </w:t>
      </w:r>
      <w:r>
        <w:t xml:space="preserve">Effectively incorporates local Brisbane and Australian cultural contexts into the curriculum.</w:t>
      </w:r>
    </w:p>
    <w:p>
      <w:pPr>
        <w:numPr>
          <w:ilvl w:val="0"/>
          <w:numId w:val="1002"/>
        </w:numPr>
        <w:pStyle w:val="Compact"/>
      </w:pPr>
      <w:r>
        <w:rPr>
          <w:bCs/>
          <w:b/>
        </w:rPr>
        <w:t xml:space="preserve">Reflective Practice:</w:t>
      </w:r>
      <w:r>
        <w:t xml:space="preserve"> </w:t>
      </w:r>
      <w:r>
        <w:t xml:space="preserve">Shows a willingness to reflect on practice and seek feedback for continuous improvement.</w:t>
      </w:r>
    </w:p>
    <w:bookmarkEnd w:id="28"/>
    <w:bookmarkStart w:id="29" w:name="areas-for-improvement"/>
    <w:p>
      <w:pPr>
        <w:pStyle w:val="Heading2"/>
      </w:pPr>
      <w:r>
        <w:t xml:space="preserve">5. Areas for Improvement</w:t>
      </w:r>
    </w:p>
    <w:p>
      <w:pPr>
        <w:numPr>
          <w:ilvl w:val="0"/>
          <w:numId w:val="1003"/>
        </w:numPr>
        <w:pStyle w:val="Compact"/>
      </w:pPr>
      <w:r>
        <w:rPr>
          <w:bCs/>
          <w:b/>
        </w:rPr>
        <w:t xml:space="preserve">Wait Time:</w:t>
      </w:r>
      <w:r>
        <w:t xml:space="preserve"> </w:t>
      </w:r>
      <w:r>
        <w:t xml:space="preserve">Increasing wait time after asking questions could allow more students to participate and deepen their thinking.</w:t>
      </w:r>
    </w:p>
    <w:p>
      <w:pPr>
        <w:numPr>
          <w:ilvl w:val="0"/>
          <w:numId w:val="1003"/>
        </w:numPr>
        <w:pStyle w:val="Compact"/>
      </w:pPr>
      <w:r>
        <w:rPr>
          <w:bCs/>
          <w:b/>
        </w:rPr>
        <w:t xml:space="preserve">Student Voice:</w:t>
      </w:r>
      <w:r>
        <w:t xml:space="preserve"> </w:t>
      </w:r>
      <w:r>
        <w:t xml:space="preserve">Further opportunities for student choice and voice in learning activities could enhance engagement and ownership.</w:t>
      </w:r>
    </w:p>
    <w:p>
      <w:pPr>
        <w:numPr>
          <w:ilvl w:val="0"/>
          <w:numId w:val="1003"/>
        </w:numPr>
        <w:pStyle w:val="Compact"/>
      </w:pPr>
      <w:r>
        <w:rPr>
          <w:bCs/>
          <w:b/>
        </w:rPr>
        <w:t xml:space="preserve">Technology Integration:</w:t>
      </w:r>
      <w:r>
        <w:t xml:space="preserve"> </w:t>
      </w:r>
      <w:r>
        <w:t xml:space="preserve">Exploring more innovative uses of educational technology could enhance learning experiences and prepare students for the digital future.</w:t>
      </w:r>
    </w:p>
    <w:p>
      <w:pPr>
        <w:numPr>
          <w:ilvl w:val="0"/>
          <w:numId w:val="1003"/>
        </w:numPr>
        <w:pStyle w:val="Compact"/>
      </w:pPr>
      <w:r>
        <w:rPr>
          <w:bCs/>
          <w:b/>
        </w:rPr>
        <w:t xml:space="preserve">Data Utilization:</w:t>
      </w:r>
      <w:r>
        <w:t xml:space="preserve"> </w:t>
      </w:r>
      <w:r>
        <w:t xml:space="preserve">More systematic use of assessment data to inform instructional planning and differentiation could be beneficial.</w:t>
      </w:r>
    </w:p>
    <w:bookmarkEnd w:id="29"/>
    <w:bookmarkStart w:id="30" w:name="recommendations-and-action-plan"/>
    <w:p>
      <w:pPr>
        <w:pStyle w:val="Heading2"/>
      </w:pPr>
      <w:r>
        <w:t xml:space="preserve">6. Recommendations and Action Plan</w:t>
      </w:r>
    </w:p>
    <w:p>
      <w:pPr>
        <w:pStyle w:val="FirstParagraph"/>
      </w:pPr>
      <w:r>
        <w:t xml:space="preserve">Based on the observations, the following recommendations are made for the Teacher Primary:</w:t>
      </w:r>
    </w:p>
    <w:p>
      <w:pPr>
        <w:numPr>
          <w:ilvl w:val="0"/>
          <w:numId w:val="1004"/>
        </w:numPr>
        <w:pStyle w:val="Compact"/>
      </w:pPr>
      <w:r>
        <w:rPr>
          <w:bCs/>
          <w:b/>
        </w:rPr>
        <w:t xml:space="preserve">Professional Learning:</w:t>
      </w:r>
      <w:r>
        <w:t xml:space="preserve"> </w:t>
      </w:r>
      <w:r>
        <w:t xml:space="preserve">Engage in professional learning opportunities focused on differentiated instruction and formative assessment strategies.</w:t>
      </w:r>
    </w:p>
    <w:p>
      <w:pPr>
        <w:numPr>
          <w:ilvl w:val="0"/>
          <w:numId w:val="1004"/>
        </w:numPr>
        <w:pStyle w:val="Compact"/>
      </w:pPr>
      <w:r>
        <w:rPr>
          <w:bCs/>
          <w:b/>
        </w:rPr>
        <w:t xml:space="preserve">Peer Collaboration:</w:t>
      </w:r>
      <w:r>
        <w:t xml:space="preserve"> </w:t>
      </w:r>
      <w:r>
        <w:t xml:space="preserve">Participate in peer observation and collaboration with other teachers in the Brisbane primary education community to share best practices.</w:t>
      </w:r>
    </w:p>
    <w:p>
      <w:pPr>
        <w:numPr>
          <w:ilvl w:val="0"/>
          <w:numId w:val="1004"/>
        </w:numPr>
        <w:pStyle w:val="Compact"/>
      </w:pPr>
      <w:r>
        <w:rPr>
          <w:bCs/>
          <w:b/>
        </w:rPr>
        <w:t xml:space="preserve">Reflective Journaling:</w:t>
      </w:r>
      <w:r>
        <w:t xml:space="preserve"> </w:t>
      </w:r>
      <w:r>
        <w:t xml:space="preserve">Maintain a reflective journal to document insights and strategies for improvement.</w:t>
      </w:r>
    </w:p>
    <w:p>
      <w:pPr>
        <w:numPr>
          <w:ilvl w:val="0"/>
          <w:numId w:val="1004"/>
        </w:numPr>
        <w:pStyle w:val="Compact"/>
      </w:pPr>
      <w:r>
        <w:rPr>
          <w:bCs/>
          <w:b/>
        </w:rPr>
        <w:t xml:space="preserve">Student Feedback:</w:t>
      </w:r>
      <w:r>
        <w:t xml:space="preserve"> </w:t>
      </w:r>
      <w:r>
        <w:t xml:space="preserve">Regularly seek feedback from students to understand their perspectives on learning and teaching.</w:t>
      </w:r>
    </w:p>
    <w:p>
      <w:pPr>
        <w:pStyle w:val="FirstParagraph"/>
      </w:pPr>
      <w:r>
        <w:t xml:space="preserve">The Teacher Primary is encouraged to develop a personal action plan based on these recommendations, with specific goals and timelines. The reviewer is available to provide ongoing support and guidance.</w:t>
      </w:r>
    </w:p>
    <w:bookmarkEnd w:id="30"/>
    <w:bookmarkStart w:id="31" w:name="conclusion"/>
    <w:p>
      <w:pPr>
        <w:pStyle w:val="Heading2"/>
      </w:pPr>
      <w:r>
        <w:t xml:space="preserve">7. Conclusion</w:t>
      </w:r>
    </w:p>
    <w:p>
      <w:pPr>
        <w:pStyle w:val="FirstParagraph"/>
      </w:pPr>
      <w:r>
        <w:t xml:space="preserve">This Peer Review Report highlights the strengths and areas for growth of the Teacher Primary in the context of Australia Brisbane. The teacher demonstrates a strong commitment to professional practice and student learning. By addressing the areas for improvement and implementing the recommendations, the teacher can further enhance their effectiveness and contribute to the high-quality education of primary students in Brisbane. This review is a testament to the collaborative and reflective nature of the teaching profession in Australia.</w:t>
      </w:r>
    </w:p>
    <w:bookmarkEnd w:id="31"/>
    <w:p>
      <w:pPr>
        <w:pStyle w:val="BodyText"/>
      </w:pPr>
      <w:r>
        <w:rPr>
          <w:bCs/>
          <w:b/>
        </w:rPr>
        <w:t xml:space="preserve">Teacher Primary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t xml:space="preserve">This document is a confidential Peer Review Report intended for professional development purposes. It aligns with the standards of the Australian Institute for Teaching and School Leadership (AITSL) and the Queensland College of Teachers (QCT).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Brisbane, Australia</dc:title>
  <dc:creator/>
  <dc:language>en</dc:language>
  <cp:keywords/>
  <dcterms:created xsi:type="dcterms:W3CDTF">2026-10-10T07:09:06Z</dcterms:created>
  <dcterms:modified xsi:type="dcterms:W3CDTF">2026-10-10T07:09:06Z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