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Primary Education Sector Evaluation</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Subject Teacher:</w:t>
      </w:r>
      <w:r>
        <w:t xml:space="preserve"> </w:t>
      </w:r>
      <w:r>
        <w:t xml:space="preserve">[Teacher Name Redacted]</w:t>
      </w:r>
    </w:p>
    <w:p>
      <w:pPr>
        <w:pStyle w:val="BodyText"/>
      </w:pPr>
      <w:r>
        <w:rPr>
          <w:bCs/>
          <w:b/>
        </w:rPr>
        <w:t xml:space="preserve">Grade Level:</w:t>
      </w:r>
      <w:r>
        <w:t xml:space="preserve"> </w:t>
      </w:r>
      <w:r>
        <w:t xml:space="preserve">Primary (Grades 1-4)</w:t>
      </w:r>
    </w:p>
    <w:p>
      <w:pPr>
        <w:pStyle w:val="BodyText"/>
      </w:pPr>
      <w:r>
        <w:rPr>
          <w:bCs/>
          <w:b/>
        </w:rPr>
        <w:t xml:space="preserve">Reviewer:</w:t>
      </w:r>
      <w:r>
        <w:t xml:space="preserve"> </w:t>
      </w:r>
      <w:r>
        <w:t xml:space="preserve">Senior Pedagogical Specialist</w:t>
      </w:r>
    </w:p>
    <w:p>
      <w:pPr>
        <w:pStyle w:val="BodyText"/>
      </w:pPr>
      <w:r>
        <w:rPr>
          <w:bCs/>
          <w:b/>
        </w:rPr>
        <w:t xml:space="preserve">Reference Standard:</w:t>
      </w:r>
      <w:r>
        <w:t xml:space="preserve"> </w:t>
      </w:r>
      <w:r>
        <w:t xml:space="preserve">National Curriculum of Kazakhstan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pedagogical practices, classroom management, and curriculum alignment of a Teacher Primary within the educational framework of Almaty, Kazakhstan. The review was conducted in accordance with the Ministry of Education and Science of the Republic of Kazakhstan's standards for continuous professional development. The primary objective of this assessment is to ensure that the educator is effectively fostering a learning environment that aligns with the modern educational reforms currently being implemented across the city of Almaty.</w:t>
      </w:r>
    </w:p>
    <w:p>
      <w:pPr>
        <w:pStyle w:val="BodyText"/>
      </w:pPr>
      <w:r>
        <w:t xml:space="preserve">The review focuses on the teacher's ability to integrate the trilingual policy (Kazakh, Russian, and English), utilize competency-based approaches, and leverage digital tools as mandated by the national strategy. Overall, the Teacher Primary demonstrates a strong commitment to student-centered learning, though specific areas regarding differentiated instruction and assessment for learning require targeted professional development.</w:t>
      </w:r>
    </w:p>
    <w:bookmarkEnd w:id="21"/>
    <w:bookmarkStart w:id="22" w:name="context-and-methodology"/>
    <w:p>
      <w:pPr>
        <w:pStyle w:val="Heading2"/>
      </w:pPr>
      <w:r>
        <w:t xml:space="preserve">2. Context and Methodology</w:t>
      </w:r>
    </w:p>
    <w:p>
      <w:pPr>
        <w:pStyle w:val="FirstParagraph"/>
      </w:pPr>
      <w:r>
        <w:t xml:space="preserve">The evaluation took place in a public primary school located in the Almaty district. The methodology employed for this Peer Review Report included a direct classroom observation of a 45-minute lesson, a review of lesson planning documentation, an analysis of student work samples, and a reflective dialogue with the Teacher Primary. The context of Almaty as a rapidly developing educational hub in Kazakhstan necessitates a rigorous standard of review, ensuring that primary education lays a robust foundation for future secondary and tertiary studies.</w:t>
      </w:r>
    </w:p>
    <w:bookmarkEnd w:id="22"/>
    <w:bookmarkStart w:id="27" w:name="detailed-observations"/>
    <w:p>
      <w:pPr>
        <w:pStyle w:val="Heading2"/>
      </w:pPr>
      <w:r>
        <w:t xml:space="preserve">3. Detailed Observations</w:t>
      </w:r>
    </w:p>
    <w:bookmarkStart w:id="23" w:name="lesson-planning-and-curriculum-alignment"/>
    <w:p>
      <w:pPr>
        <w:pStyle w:val="Heading3"/>
      </w:pPr>
      <w:r>
        <w:t xml:space="preserve">3.1 Lesson Planning and Curriculum Alignment</w:t>
      </w:r>
    </w:p>
    <w:p>
      <w:pPr>
        <w:pStyle w:val="FirstParagraph"/>
      </w:pPr>
      <w:r>
        <w:t xml:space="preserve">The Teacher Primary has demonstrated a solid understanding of the National Curriculum of Kazakhstan. The lesson plans reviewed were structured logically, with clear learning objectives that aligned with the expected outcomes for the specific grade level. The integration of cross-curricular links was evident, particularly in connecting mathematics with real-world scenarios relevant to the students' daily lives in Almaty.</w:t>
      </w:r>
    </w:p>
    <w:p>
      <w:pPr>
        <w:pStyle w:val="BodyText"/>
      </w:pPr>
      <w:r>
        <w:t xml:space="preserve">However, the lesson plans occasionally lacked sufficient detail regarding differentiation strategies for students with varying learning needs. While the core content was accurate, the scaffolding for students who are still developing proficiency in the language of instruction could be more explicit.</w:t>
      </w:r>
    </w:p>
    <w:bookmarkEnd w:id="23"/>
    <w:bookmarkStart w:id="24" w:name="X1c359e4963dc39b88918fae85857f83aea9c4e5"/>
    <w:p>
      <w:pPr>
        <w:pStyle w:val="Heading3"/>
      </w:pPr>
      <w:r>
        <w:t xml:space="preserve">3.2 Teaching Methodologies and Student Engagement</w:t>
      </w:r>
    </w:p>
    <w:p>
      <w:pPr>
        <w:pStyle w:val="FirstParagraph"/>
      </w:pPr>
      <w:r>
        <w:t xml:space="preserve">During the observation, the Teacher Primary utilized a variety of active learning strategies, including group work, pair discussions, and interactive questioning. This aligns well with the shift away from rote memorization toward competency-based education promoted in Kazakhstan. The classroom atmosphere was positive, and the teacher maintained a respectful and encouraging tone, which is crucial for primary-aged children.</w:t>
      </w:r>
    </w:p>
    <w:p>
      <w:pPr>
        <w:pStyle w:val="BodyText"/>
      </w:pPr>
      <w:r>
        <w:t xml:space="preserve">The use of visual aids and digital resources was commendable. The teacher effectively used an interactive whiteboard to present concepts, which helped maintain student engagement. The integration of English language terminology during the lesson supported the trilingual education goals of the region.</w:t>
      </w:r>
    </w:p>
    <w:bookmarkEnd w:id="24"/>
    <w:bookmarkStart w:id="25" w:name="classroom-management-and-environment"/>
    <w:p>
      <w:pPr>
        <w:pStyle w:val="Heading3"/>
      </w:pPr>
      <w:r>
        <w:t xml:space="preserve">3.3 Classroom Management and Environment</w:t>
      </w:r>
    </w:p>
    <w:p>
      <w:pPr>
        <w:pStyle w:val="FirstParagraph"/>
      </w:pPr>
      <w:r>
        <w:t xml:space="preserve">The classroom environment in Almaty was organized and conducive to learning. Display boards showcased student work, promoting a sense of pride and ownership. Classroom rules were clearly displayed and consistently enforced. The Teacher Primary managed transitions between activities smoothly, minimizing downtime and maintaining focus.</w:t>
      </w:r>
    </w:p>
    <w:p>
      <w:pPr>
        <w:pStyle w:val="BodyText"/>
      </w:pPr>
      <w:r>
        <w:t xml:space="preserve">One area for improvement is the management of noise levels during group activities. While collaboration is encouraged, the noise occasionally rose to a level that hindered concentration for some students. Implementing clearer signals for silence and focus would enhance the overall learning environment.</w:t>
      </w:r>
    </w:p>
    <w:bookmarkEnd w:id="25"/>
    <w:bookmarkStart w:id="26" w:name="assessment-and-feedback"/>
    <w:p>
      <w:pPr>
        <w:pStyle w:val="Heading3"/>
      </w:pPr>
      <w:r>
        <w:t xml:space="preserve">3.4 Assessment and Feedback</w:t>
      </w:r>
    </w:p>
    <w:p>
      <w:pPr>
        <w:pStyle w:val="FirstParagraph"/>
      </w:pPr>
      <w:r>
        <w:t xml:space="preserve">The Teacher Primary employed formative assessment techniques throughout the lesson, such as exit tickets and questioning. Feedback provided to students was generally positive but often lacked specificity. To align with best practices, feedback should be more actionable, guiding students on exactly how to improve their understanding or skills.</w:t>
      </w:r>
    </w:p>
    <w:bookmarkEnd w:id="26"/>
    <w:bookmarkEnd w:id="27"/>
    <w:bookmarkStart w:id="28" w:name="strengths"/>
    <w:p>
      <w:pPr>
        <w:pStyle w:val="Heading2"/>
      </w:pPr>
      <w:r>
        <w:t xml:space="preserve">4. Strengths</w:t>
      </w:r>
    </w:p>
    <w:p>
      <w:pPr>
        <w:numPr>
          <w:ilvl w:val="0"/>
          <w:numId w:val="1001"/>
        </w:numPr>
        <w:pStyle w:val="Compact"/>
      </w:pPr>
      <w:r>
        <w:rPr>
          <w:bCs/>
          <w:b/>
        </w:rPr>
        <w:t xml:space="preserve">Strong Subject Knowledge:</w:t>
      </w:r>
      <w:r>
        <w:t xml:space="preserve"> </w:t>
      </w:r>
      <w:r>
        <w:t xml:space="preserve">The Teacher Primary demonstrates a deep understanding of the primary curriculum requirements in Kazakhstan.</w:t>
      </w:r>
    </w:p>
    <w:p>
      <w:pPr>
        <w:numPr>
          <w:ilvl w:val="0"/>
          <w:numId w:val="1001"/>
        </w:numPr>
        <w:pStyle w:val="Compact"/>
      </w:pPr>
      <w:r>
        <w:rPr>
          <w:bCs/>
          <w:b/>
        </w:rPr>
        <w:t xml:space="preserve">Positive Relationships:</w:t>
      </w:r>
      <w:r>
        <w:t xml:space="preserve"> </w:t>
      </w:r>
      <w:r>
        <w:t xml:space="preserve">Excellent rapport with students, creating a safe and supportive learning environment.</w:t>
      </w:r>
    </w:p>
    <w:p>
      <w:pPr>
        <w:numPr>
          <w:ilvl w:val="0"/>
          <w:numId w:val="1001"/>
        </w:numPr>
        <w:pStyle w:val="Compact"/>
      </w:pPr>
      <w:r>
        <w:rPr>
          <w:bCs/>
          <w:b/>
        </w:rPr>
        <w:t xml:space="preserve">Technological Integration:</w:t>
      </w:r>
      <w:r>
        <w:t xml:space="preserve"> </w:t>
      </w:r>
      <w:r>
        <w:t xml:space="preserve">Effective use of digital tools to enhance lesson delivery and student engagement.</w:t>
      </w:r>
    </w:p>
    <w:p>
      <w:pPr>
        <w:numPr>
          <w:ilvl w:val="0"/>
          <w:numId w:val="1001"/>
        </w:numPr>
        <w:pStyle w:val="Compact"/>
      </w:pPr>
      <w:r>
        <w:rPr>
          <w:bCs/>
          <w:b/>
        </w:rPr>
        <w:t xml:space="preserve">Trilingual Approach:</w:t>
      </w:r>
      <w:r>
        <w:t xml:space="preserve"> </w:t>
      </w:r>
      <w:r>
        <w:t xml:space="preserve">Consistent effort to incorporate multiple languages into the learning process.</w:t>
      </w:r>
    </w:p>
    <w:bookmarkEnd w:id="28"/>
    <w:bookmarkStart w:id="29" w:name="areas-for-development"/>
    <w:p>
      <w:pPr>
        <w:pStyle w:val="Heading2"/>
      </w:pPr>
      <w:r>
        <w:t xml:space="preserve">5. Areas for Development</w:t>
      </w:r>
    </w:p>
    <w:p>
      <w:pPr>
        <w:numPr>
          <w:ilvl w:val="0"/>
          <w:numId w:val="1002"/>
        </w:numPr>
        <w:pStyle w:val="Compact"/>
      </w:pPr>
      <w:r>
        <w:rPr>
          <w:bCs/>
          <w:b/>
        </w:rPr>
        <w:t xml:space="preserve">Differentiation:</w:t>
      </w:r>
      <w:r>
        <w:t xml:space="preserve"> </w:t>
      </w:r>
      <w:r>
        <w:t xml:space="preserve">Need to develop more robust strategies to support diverse learners, including those with special educational needs and those struggling with language barriers.</w:t>
      </w:r>
    </w:p>
    <w:p>
      <w:pPr>
        <w:numPr>
          <w:ilvl w:val="0"/>
          <w:numId w:val="1002"/>
        </w:numPr>
        <w:pStyle w:val="Compact"/>
      </w:pPr>
      <w:r>
        <w:rPr>
          <w:bCs/>
          <w:b/>
        </w:rPr>
        <w:t xml:space="preserve">Assessment for Learning:</w:t>
      </w:r>
      <w:r>
        <w:t xml:space="preserve"> </w:t>
      </w:r>
      <w:r>
        <w:t xml:space="preserve">Feedback needs to be more specific and constructive to drive student progress.</w:t>
      </w:r>
    </w:p>
    <w:p>
      <w:pPr>
        <w:numPr>
          <w:ilvl w:val="0"/>
          <w:numId w:val="1002"/>
        </w:numPr>
        <w:pStyle w:val="Compact"/>
      </w:pPr>
      <w:r>
        <w:rPr>
          <w:bCs/>
          <w:b/>
        </w:rPr>
        <w:t xml:space="preserve">Classroom Management:</w:t>
      </w:r>
      <w:r>
        <w:t xml:space="preserve"> </w:t>
      </w:r>
      <w:r>
        <w:t xml:space="preserve">Refine strategies for managing noise levels during collaborative tasks.</w:t>
      </w:r>
    </w:p>
    <w:bookmarkEnd w:id="29"/>
    <w:bookmarkStart w:id="30" w:name="recommendations-and-action-plan"/>
    <w:p>
      <w:pPr>
        <w:pStyle w:val="Heading2"/>
      </w:pPr>
      <w:r>
        <w:t xml:space="preserve">6. Recommendations and Action Plan</w:t>
      </w:r>
    </w:p>
    <w:p>
      <w:pPr>
        <w:pStyle w:val="FirstParagraph"/>
      </w:pPr>
      <w:r>
        <w:t xml:space="preserve">Based on the findings of this Peer Review Report, the following actions are recommended for the Teacher Primary:</w:t>
      </w:r>
    </w:p>
    <w:p>
      <w:pPr>
        <w:numPr>
          <w:ilvl w:val="0"/>
          <w:numId w:val="1003"/>
        </w:numPr>
        <w:pStyle w:val="Compact"/>
      </w:pPr>
      <w:r>
        <w:rPr>
          <w:bCs/>
          <w:b/>
        </w:rPr>
        <w:t xml:space="preserve">Professional Development:</w:t>
      </w:r>
      <w:r>
        <w:t xml:space="preserve"> </w:t>
      </w:r>
      <w:r>
        <w:t xml:space="preserve">Attend workshops on differentiated instruction and assessment for learning, available through the Almaty City Department of Education.</w:t>
      </w:r>
    </w:p>
    <w:p>
      <w:pPr>
        <w:numPr>
          <w:ilvl w:val="0"/>
          <w:numId w:val="1003"/>
        </w:numPr>
        <w:pStyle w:val="Compact"/>
      </w:pPr>
      <w:r>
        <w:rPr>
          <w:bCs/>
          <w:b/>
        </w:rPr>
        <w:t xml:space="preserve">Peer Collaboration:</w:t>
      </w:r>
      <w:r>
        <w:t xml:space="preserve"> </w:t>
      </w:r>
      <w:r>
        <w:t xml:space="preserve">Engage in lesson study groups with colleagues to share best practices and observe different classroom management techniques.</w:t>
      </w:r>
    </w:p>
    <w:p>
      <w:pPr>
        <w:numPr>
          <w:ilvl w:val="0"/>
          <w:numId w:val="1003"/>
        </w:numPr>
        <w:pStyle w:val="Compact"/>
      </w:pPr>
      <w:r>
        <w:rPr>
          <w:bCs/>
          <w:b/>
        </w:rPr>
        <w:t xml:space="preserve">Reflective Practice:</w:t>
      </w:r>
      <w:r>
        <w:t xml:space="preserve"> </w:t>
      </w:r>
      <w:r>
        <w:t xml:space="preserve">Maintain a reflective journal to document strategies used and their effectiveness, focusing on the areas identified for development.</w:t>
      </w:r>
    </w:p>
    <w:p>
      <w:pPr>
        <w:numPr>
          <w:ilvl w:val="0"/>
          <w:numId w:val="1003"/>
        </w:numPr>
        <w:pStyle w:val="Compact"/>
      </w:pPr>
      <w:r>
        <w:rPr>
          <w:bCs/>
          <w:b/>
        </w:rPr>
        <w:t xml:space="preserve">Follow-up Review:</w:t>
      </w:r>
      <w:r>
        <w:t xml:space="preserve"> </w:t>
      </w:r>
      <w:r>
        <w:t xml:space="preserve">A follow-up observation will be scheduled in three months to monitor progress on the identified action points.</w:t>
      </w:r>
    </w:p>
    <w:bookmarkEnd w:id="30"/>
    <w:bookmarkStart w:id="31" w:name="conclusion"/>
    <w:p>
      <w:pPr>
        <w:pStyle w:val="Heading2"/>
      </w:pPr>
      <w:r>
        <w:t xml:space="preserve">7. Conclusion</w:t>
      </w:r>
    </w:p>
    <w:p>
      <w:pPr>
        <w:pStyle w:val="FirstParagraph"/>
      </w:pPr>
      <w:r>
        <w:t xml:space="preserve">This Peer Review Report highlights the dedication and competence of the Teacher Primary in the Almaty educational landscape. While there are areas for growth, particularly in differentiation and assessment, the teacher possesses the foundational skills and attitude necessary for continuous improvement. By implementing the recommended actions, the teacher will further enhance their practice and contribute positively to the educational outcomes of their students in Kazakhstan.</w:t>
      </w:r>
    </w:p>
    <w:bookmarkEnd w:id="31"/>
    <w:p>
      <w:pPr>
        <w:pStyle w:val="BodyText"/>
      </w:pPr>
      <w:r>
        <w:rPr>
          <w:bCs/>
          <w:b/>
        </w:rPr>
        <w:t xml:space="preserve">Reviewer Signature:</w:t>
      </w:r>
    </w:p>
    <w:p>
      <w:pPr>
        <w:pStyle w:val="BodyText"/>
      </w:pPr>
      <w:r>
        <w:t xml:space="preserve">Senior Pedagogical Specialist</w:t>
      </w:r>
    </w:p>
    <w:p>
      <w:pPr>
        <w:pStyle w:val="BodyText"/>
      </w:pPr>
      <w:r>
        <w:rPr>
          <w:bCs/>
          <w:b/>
        </w:rPr>
        <w:t xml:space="preserve">Teacher Acknowledgment:</w:t>
      </w:r>
    </w:p>
    <w:p>
      <w:pPr>
        <w:pStyle w:val="BodyText"/>
      </w:pPr>
      <w:r>
        <w:t xml:space="preserve">Teacher Primary</w:t>
      </w:r>
    </w:p>
    <w:p>
      <w:pPr>
        <w:pStyle w:val="BodyText"/>
      </w:pPr>
      <w:r>
        <w:t xml:space="preserve">Confidential Document - For Internal Use Only | Almaty City Department of Education | 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Almaty, Kazakhstan</dc:title>
  <dc:creator/>
  <dc:language>en</dc:language>
  <cp:keywords/>
  <dcterms:created xsi:type="dcterms:W3CDTF">2026-10-10T03:54:55Z</dcterms:created>
  <dcterms:modified xsi:type="dcterms:W3CDTF">2026-10-10T03:54:55Z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