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t xml:space="preserve">Professional Development &amp; Classroom Observation Framework</w:t>
      </w:r>
    </w:p>
    <w:bookmarkEnd w:id="20"/>
    <w:p>
      <w:pPr>
        <w:pStyle w:val="BodyText"/>
      </w:pPr>
      <w:r>
        <w:rPr>
          <w:bCs/>
          <w:b/>
        </w:rPr>
        <w:t xml:space="preserve">Teacher Name:</w:t>
      </w:r>
      <w:r>
        <w:t xml:space="preserve"> </w:t>
      </w:r>
      <w:r>
        <w:t xml:space="preserve">[Insert Teacher Name]</w:t>
      </w:r>
    </w:p>
    <w:p>
      <w:pPr>
        <w:pStyle w:val="BodyText"/>
      </w:pPr>
      <w:r>
        <w:rPr>
          <w:bCs/>
          <w:b/>
        </w:rPr>
        <w:t xml:space="preserve">Role:</w:t>
      </w:r>
      <w:r>
        <w:t xml:space="preserve"> </w:t>
      </w:r>
      <w:r>
        <w:t xml:space="preserve">Teacher Primary</w:t>
      </w:r>
    </w:p>
    <w:p>
      <w:pPr>
        <w:pStyle w:val="BodyText"/>
      </w:pPr>
      <w:r>
        <w:rPr>
          <w:bCs/>
          <w:b/>
        </w:rPr>
        <w:t xml:space="preserve">School Location:</w:t>
      </w:r>
      <w:r>
        <w:t xml:space="preserve"> </w:t>
      </w:r>
      <w:r>
        <w:t xml:space="preserve">Kuala Lumpur, Malaysia</w:t>
      </w:r>
    </w:p>
    <w:p>
      <w:pPr>
        <w:pStyle w:val="BodyText"/>
      </w:pPr>
      <w:r>
        <w:rPr>
          <w:bCs/>
          <w:b/>
        </w:rPr>
        <w:t xml:space="preserve">Grade Level:</w:t>
      </w:r>
      <w:r>
        <w:t xml:space="preserve"> </w:t>
      </w:r>
      <w:r>
        <w:t xml:space="preserve">[Insert Grade, e.g., Year 4]</w:t>
      </w:r>
    </w:p>
    <w:p>
      <w:pPr>
        <w:pStyle w:val="BodyText"/>
      </w:pPr>
      <w:r>
        <w:rPr>
          <w:bCs/>
          <w:b/>
        </w:rPr>
        <w:t xml:space="preserve">Subject:</w:t>
      </w:r>
      <w:r>
        <w:t xml:space="preserve"> </w:t>
      </w:r>
      <w:r>
        <w:t xml:space="preserve">[Insert Subject, e.g., Mathematics]</w:t>
      </w:r>
    </w:p>
    <w:p>
      <w:pPr>
        <w:pStyle w:val="BodyText"/>
      </w:pPr>
      <w:r>
        <w:rPr>
          <w:bCs/>
          <w:b/>
        </w:rPr>
        <w:t xml:space="preserve">Date of Observation:</w:t>
      </w:r>
      <w:r>
        <w:t xml:space="preserve"> </w:t>
      </w:r>
      <w:r>
        <w:t xml:space="preserve">[DD/MM/YYYY]</w:t>
      </w:r>
    </w:p>
    <w:p>
      <w:pPr>
        <w:pStyle w:val="BodyText"/>
      </w:pPr>
      <w:r>
        <w:rPr>
          <w:bCs/>
          <w:b/>
        </w:rPr>
        <w:t xml:space="preserve">Reviewer Name:</w:t>
      </w:r>
      <w:r>
        <w:t xml:space="preserve"> </w:t>
      </w:r>
      <w:r>
        <w:t xml:space="preserve">[Insert Reviewer Name]</w:t>
      </w:r>
    </w:p>
    <w:p>
      <w:pPr>
        <w:pStyle w:val="BodyText"/>
      </w:pPr>
      <w:r>
        <w:rPr>
          <w:bCs/>
          <w:b/>
        </w:rPr>
        <w:t xml:space="preserve">Duration:</w:t>
      </w:r>
      <w:r>
        <w:t xml:space="preserve"> </w:t>
      </w:r>
      <w:r>
        <w:t xml:space="preserve">[Insert Duration, e.g., 40 Minutes]</w:t>
      </w:r>
    </w:p>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conducted in accordance with the professional standards set forth by the Ministry of Education Malaysia (KPM). The primary objective of this review is to evaluate the pedagogical practices, classroom management strategies, and student engagement levels of the observed</w:t>
      </w:r>
      <w:r>
        <w:t xml:space="preserve"> </w:t>
      </w:r>
      <w:r>
        <w:rPr>
          <w:bCs/>
          <w:b/>
        </w:rPr>
        <w:t xml:space="preserve">Teacher Primary</w:t>
      </w:r>
      <w:r>
        <w:t xml:space="preserve">. Given the dynamic educational landscape in</w:t>
      </w:r>
      <w:r>
        <w:t xml:space="preserve"> </w:t>
      </w:r>
      <w:r>
        <w:rPr>
          <w:bCs/>
          <w:b/>
        </w:rPr>
        <w:t xml:space="preserve">Malaysia Kuala Lumpur</w:t>
      </w:r>
      <w:r>
        <w:t xml:space="preserve">, where schools are increasingly adopting the Standard-Based Curriculum (KSSR) and integrating 21st-century learning skills (HPS21), this assessment focuses on how effectively the teacher aligns their instruction with these national mandates.</w:t>
      </w:r>
    </w:p>
    <w:p>
      <w:pPr>
        <w:pStyle w:val="BodyText"/>
      </w:pPr>
      <w:r>
        <w:t xml:space="preserve">The observation took place within a typical urban primary school setting in Kuala Lumpur. The context involves a diverse student body, reflecting the multicultural demographic of the capital city. The review aims to provide constructive feedback that supports the teacher's continuous professional development (CPD) and enhances the overall quality of education delivered to primary school students in this region.</w:t>
      </w:r>
    </w:p>
    <w:bookmarkEnd w:id="21"/>
    <w:bookmarkStart w:id="22" w:name="lesson-planning-and-curriculum-alignment"/>
    <w:p>
      <w:pPr>
        <w:pStyle w:val="Heading2"/>
      </w:pPr>
      <w:r>
        <w:t xml:space="preserve">2. Lesson Planning and Curriculum Alignment</w:t>
      </w:r>
    </w:p>
    <w:p>
      <w:pPr>
        <w:pStyle w:val="FirstParagraph"/>
      </w:pPr>
      <w:r>
        <w:t xml:space="preserve">The lesson plan demonstrated a clear understanding of the KSSR learning standards. The</w:t>
      </w:r>
      <w:r>
        <w:t xml:space="preserve"> </w:t>
      </w:r>
      <w:r>
        <w:rPr>
          <w:bCs/>
          <w:b/>
        </w:rPr>
        <w:t xml:space="preserve">Teacher Primary</w:t>
      </w:r>
      <w:r>
        <w:t xml:space="preserve"> </w:t>
      </w:r>
      <w:r>
        <w:t xml:space="preserve">successfully outlined specific learning objectives that were measurable and age-appropriate. There was a notable effort to integrate cross-curricular elements, such as moral education and digital literacy, which are crucial components of the Malaysian primary education framework.</w:t>
      </w:r>
    </w:p>
    <w:p>
      <w:pPr>
        <w:pStyle w:val="BodyText"/>
      </w:pPr>
      <w:r>
        <w:t xml:space="preserve">However, the pacing of the lesson could be optimized. While the introduction was engaging, the transition to the core activity felt slightly rushed. In the context of</w:t>
      </w:r>
      <w:r>
        <w:t xml:space="preserve"> </w:t>
      </w:r>
      <w:r>
        <w:rPr>
          <w:bCs/>
          <w:b/>
        </w:rPr>
        <w:t xml:space="preserve">Malaysia Kuala Lumpur</w:t>
      </w:r>
      <w:r>
        <w:t xml:space="preserve">, where students are often exposed to high-paced learning environments, ensuring that every student grasps the foundational concepts before moving forward is vital. The teacher utilized the official textbook effectively but could benefit from incorporating more localized examples relevant to Kuala Lumpur students to increase relatability and engagement.</w:t>
      </w:r>
    </w:p>
    <w:bookmarkEnd w:id="22"/>
    <w:bookmarkStart w:id="23" w:name="instructional-strategies-and-pedagogy"/>
    <w:p>
      <w:pPr>
        <w:pStyle w:val="Heading2"/>
      </w:pPr>
      <w:r>
        <w:t xml:space="preserve">3. Instructional Strategies and Pedagogy</w:t>
      </w:r>
    </w:p>
    <w:p>
      <w:pPr>
        <w:pStyle w:val="FirstParagraph"/>
      </w:pPr>
      <w:r>
        <w:t xml:space="preserve">The instructional methods employed were varied and generally effective. The teacher utilized a mix of direct instruction, group work, and individual practice. A significant strength observed was the use of visual aids and digital tools, aligning with the government's push for digitalization in schools. The teacher effectively used a smartboard to present concepts, which maintained student interest.</w:t>
      </w:r>
    </w:p>
    <w:p>
      <w:pPr>
        <w:pStyle w:val="BodyText"/>
      </w:pPr>
      <w:r>
        <w:t xml:space="preserve">Differentiation was evident, as the teacher provided additional support to students who were struggling while offering extension tasks for advanced learners. This is particularly important in a</w:t>
      </w:r>
      <w:r>
        <w:t xml:space="preserve"> </w:t>
      </w:r>
      <w:r>
        <w:rPr>
          <w:bCs/>
          <w:b/>
        </w:rPr>
        <w:t xml:space="preserve">Teacher Primary</w:t>
      </w:r>
      <w:r>
        <w:t xml:space="preserve"> </w:t>
      </w:r>
      <w:r>
        <w:t xml:space="preserve">role, where class sizes can be large, and learning abilities vary significantly. The teacher's ability to manage these diverse needs within a single classroom session in a Kuala Lumpur school setting is commendable.</w:t>
      </w:r>
    </w:p>
    <w:bookmarkEnd w:id="23"/>
    <w:bookmarkStart w:id="24" w:name="classroom-management-and-environment"/>
    <w:p>
      <w:pPr>
        <w:pStyle w:val="Heading2"/>
      </w:pPr>
      <w:r>
        <w:t xml:space="preserve">4. Classroom Management and Environment</w:t>
      </w:r>
    </w:p>
    <w:p>
      <w:pPr>
        <w:pStyle w:val="FirstParagraph"/>
      </w:pPr>
      <w:r>
        <w:t xml:space="preserve">The classroom environment was conducive to learning. The physical layout allowed for easy movement and interaction. The teacher established clear rules and routines, which were consistently enforced. Students appeared respectful and responsive to instructions. The atmosphere was positive, fostering a sense of safety and belonging, which is essential for primary-aged children.</w:t>
      </w:r>
    </w:p>
    <w:p>
      <w:pPr>
        <w:pStyle w:val="BodyText"/>
      </w:pPr>
      <w:r>
        <w:t xml:space="preserve">One area for improvement is the management of noise levels during group activities. While collaboration is encouraged, the noise occasionally escalated to a point where it hindered concentration. Implementing specific non-verbal cues or signals to regain attention could enhance the efficiency of classroom management. This is a common challenge in urban schools in</w:t>
      </w:r>
      <w:r>
        <w:t xml:space="preserve"> </w:t>
      </w:r>
      <w:r>
        <w:rPr>
          <w:bCs/>
          <w:b/>
        </w:rPr>
        <w:t xml:space="preserve">Malaysia Kuala Lumpur</w:t>
      </w:r>
      <w:r>
        <w:t xml:space="preserve">, where students are often energetic and socially active.</w:t>
      </w:r>
    </w:p>
    <w:bookmarkEnd w:id="24"/>
    <w:bookmarkStart w:id="25" w:name="student-engagement-and-assessment"/>
    <w:p>
      <w:pPr>
        <w:pStyle w:val="Heading2"/>
      </w:pPr>
      <w:r>
        <w:t xml:space="preserve">5. Student Engagement and Assessment</w:t>
      </w:r>
    </w:p>
    <w:p>
      <w:pPr>
        <w:pStyle w:val="FirstParagraph"/>
      </w:pPr>
      <w:r>
        <w:t xml:space="preserve">Student engagement was high throughout the majority of the lesson. The teacher used questioning techniques effectively to check for understanding and stimulate critical thinking. Students were actively participating in discussions and activities. The use of formative assessment strategies, such as exit tickets and quick quizzes, allowed the teacher to gauge student progress in real-time.</w:t>
      </w:r>
    </w:p>
    <w:p>
      <w:pPr>
        <w:pStyle w:val="BodyText"/>
      </w:pPr>
      <w:r>
        <w:t xml:space="preserve">Feedback provided to students was timely and constructive. The teacher praised effort and specific achievements, which encourages a growth mindset. However, there is an opportunity to involve students more in self-assessment and peer assessment, which are key components of the HPS21 framework. Encouraging students to reflect on their own learning can deepen their understanding and autonomy.</w:t>
      </w:r>
    </w:p>
    <w:bookmarkEnd w:id="25"/>
    <w:bookmarkStart w:id="28" w:name="strengths-and-areas-for-improvement"/>
    <w:p>
      <w:pPr>
        <w:pStyle w:val="Heading2"/>
      </w:pPr>
      <w:r>
        <w:t xml:space="preserve">6. Strengths and Areas for Improvement</w:t>
      </w:r>
    </w:p>
    <w:bookmarkStart w:id="26" w:name="key-strengths"/>
    <w:p>
      <w:pPr>
        <w:pStyle w:val="Heading3"/>
      </w:pPr>
      <w:r>
        <w:t xml:space="preserve">Key Strengths:</w:t>
      </w:r>
    </w:p>
    <w:p>
      <w:pPr>
        <w:numPr>
          <w:ilvl w:val="0"/>
          <w:numId w:val="1001"/>
        </w:numPr>
        <w:pStyle w:val="Compact"/>
      </w:pPr>
      <w:r>
        <w:t xml:space="preserve">Strong alignment with KSSR curriculum standards.</w:t>
      </w:r>
    </w:p>
    <w:p>
      <w:pPr>
        <w:numPr>
          <w:ilvl w:val="0"/>
          <w:numId w:val="1001"/>
        </w:numPr>
        <w:pStyle w:val="Compact"/>
      </w:pPr>
      <w:r>
        <w:t xml:space="preserve">Effective use of digital tools and visual aids.</w:t>
      </w:r>
    </w:p>
    <w:p>
      <w:pPr>
        <w:numPr>
          <w:ilvl w:val="0"/>
          <w:numId w:val="1001"/>
        </w:numPr>
        <w:pStyle w:val="Compact"/>
      </w:pPr>
      <w:r>
        <w:t xml:space="preserve">Positive and inclusive classroom environment.</w:t>
      </w:r>
    </w:p>
    <w:p>
      <w:pPr>
        <w:numPr>
          <w:ilvl w:val="0"/>
          <w:numId w:val="1001"/>
        </w:numPr>
        <w:pStyle w:val="Compact"/>
      </w:pPr>
      <w:r>
        <w:t xml:space="preserve">Clear and consistent classroom management routines.</w:t>
      </w:r>
    </w:p>
    <w:p>
      <w:pPr>
        <w:numPr>
          <w:ilvl w:val="0"/>
          <w:numId w:val="1001"/>
        </w:numPr>
        <w:pStyle w:val="Compact"/>
      </w:pPr>
      <w:r>
        <w:t xml:space="preserve">High level of student engagement and participation.</w:t>
      </w:r>
    </w:p>
    <w:bookmarkEnd w:id="26"/>
    <w:bookmarkStart w:id="27" w:name="areas-for-improvement"/>
    <w:p>
      <w:pPr>
        <w:pStyle w:val="Heading3"/>
      </w:pPr>
      <w:r>
        <w:t xml:space="preserve">Areas for Improvement:</w:t>
      </w:r>
    </w:p>
    <w:p>
      <w:pPr>
        <w:numPr>
          <w:ilvl w:val="0"/>
          <w:numId w:val="1002"/>
        </w:numPr>
        <w:pStyle w:val="Compact"/>
      </w:pPr>
      <w:r>
        <w:t xml:space="preserve">Optimize lesson pacing to ensure thorough concept mastery.</w:t>
      </w:r>
    </w:p>
    <w:p>
      <w:pPr>
        <w:numPr>
          <w:ilvl w:val="0"/>
          <w:numId w:val="1002"/>
        </w:numPr>
        <w:pStyle w:val="Compact"/>
      </w:pPr>
      <w:r>
        <w:t xml:space="preserve">Enhance noise management strategies during group work.</w:t>
      </w:r>
    </w:p>
    <w:p>
      <w:pPr>
        <w:numPr>
          <w:ilvl w:val="0"/>
          <w:numId w:val="1002"/>
        </w:numPr>
        <w:pStyle w:val="Compact"/>
      </w:pPr>
      <w:r>
        <w:t xml:space="preserve">Incorporate more localized examples relevant to Kuala Lumpur context.</w:t>
      </w:r>
    </w:p>
    <w:p>
      <w:pPr>
        <w:numPr>
          <w:ilvl w:val="0"/>
          <w:numId w:val="1002"/>
        </w:numPr>
        <w:pStyle w:val="Compact"/>
      </w:pPr>
      <w:r>
        <w:t xml:space="preserve">Integrate more student-led self-assessment and peer assessment activities.</w:t>
      </w:r>
    </w:p>
    <w:p>
      <w:pPr>
        <w:numPr>
          <w:ilvl w:val="0"/>
          <w:numId w:val="1002"/>
        </w:numPr>
        <w:pStyle w:val="Compact"/>
      </w:pPr>
      <w:r>
        <w:t xml:space="preserve">Provide more differentiated instruction for advanced learners.</w:t>
      </w:r>
    </w:p>
    <w:bookmarkEnd w:id="27"/>
    <w:bookmarkEnd w:id="28"/>
    <w:bookmarkStart w:id="29" w:name="recommendations-and-action-plan"/>
    <w:p>
      <w:pPr>
        <w:pStyle w:val="Heading2"/>
      </w:pPr>
      <w:r>
        <w:t xml:space="preserve">7. Recommendations and Action Plan</w:t>
      </w:r>
    </w:p>
    <w:p>
      <w:pPr>
        <w:pStyle w:val="FirstParagraph"/>
      </w:pPr>
      <w:r>
        <w:t xml:space="preserve">Based on the observations, the following recommendations are proposed for the</w:t>
      </w:r>
      <w:r>
        <w:t xml:space="preserve"> </w:t>
      </w:r>
      <w:r>
        <w:rPr>
          <w:bCs/>
          <w:b/>
        </w:rPr>
        <w:t xml:space="preserve">Teacher Primary</w:t>
      </w:r>
      <w:r>
        <w:t xml:space="preserve">:</w:t>
      </w:r>
    </w:p>
    <w:p>
      <w:pPr>
        <w:numPr>
          <w:ilvl w:val="0"/>
          <w:numId w:val="1003"/>
        </w:numPr>
        <w:pStyle w:val="Compact"/>
      </w:pPr>
      <w:r>
        <w:rPr>
          <w:bCs/>
          <w:b/>
        </w:rPr>
        <w:t xml:space="preserve">Professional Development:</w:t>
      </w:r>
      <w:r>
        <w:t xml:space="preserve"> </w:t>
      </w:r>
      <w:r>
        <w:t xml:space="preserve">Attend workshops on differentiated instruction and classroom management strategies tailored for urban primary schools in</w:t>
      </w:r>
      <w:r>
        <w:t xml:space="preserve"> </w:t>
      </w:r>
      <w:r>
        <w:rPr>
          <w:bCs/>
          <w:b/>
        </w:rPr>
        <w:t xml:space="preserve">Malaysia Kuala Lumpur</w:t>
      </w:r>
      <w:r>
        <w:t xml:space="preserve">.</w:t>
      </w:r>
    </w:p>
    <w:p>
      <w:pPr>
        <w:numPr>
          <w:ilvl w:val="0"/>
          <w:numId w:val="1003"/>
        </w:numPr>
        <w:pStyle w:val="Compact"/>
      </w:pPr>
      <w:r>
        <w:rPr>
          <w:bCs/>
          <w:b/>
        </w:rPr>
        <w:t xml:space="preserve">Lesson Planning:</w:t>
      </w:r>
      <w:r>
        <w:t xml:space="preserve"> </w:t>
      </w:r>
      <w:r>
        <w:t xml:space="preserve">Collaborate with colleagues to develop lesson plans that incorporate more local context and real-world applications.</w:t>
      </w:r>
    </w:p>
    <w:p>
      <w:pPr>
        <w:numPr>
          <w:ilvl w:val="0"/>
          <w:numId w:val="1003"/>
        </w:numPr>
        <w:pStyle w:val="Compact"/>
      </w:pPr>
      <w:r>
        <w:rPr>
          <w:bCs/>
          <w:b/>
        </w:rPr>
        <w:t xml:space="preserve">Assessment:</w:t>
      </w:r>
      <w:r>
        <w:t xml:space="preserve"> </w:t>
      </w:r>
      <w:r>
        <w:t xml:space="preserve">Implement a structured peer assessment framework to encourage student autonomy and critical reflection.</w:t>
      </w:r>
    </w:p>
    <w:p>
      <w:pPr>
        <w:numPr>
          <w:ilvl w:val="0"/>
          <w:numId w:val="1003"/>
        </w:numPr>
        <w:pStyle w:val="Compact"/>
      </w:pPr>
      <w:r>
        <w:rPr>
          <w:bCs/>
          <w:b/>
        </w:rPr>
        <w:t xml:space="preserve">Follow-up:</w:t>
      </w:r>
      <w:r>
        <w:t xml:space="preserve"> </w:t>
      </w:r>
      <w:r>
        <w:t xml:space="preserve">Schedule a follow-up observation in three months to review progress on the identified areas for improvement.</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highlights the dedication and competence of the observed</w:t>
      </w:r>
      <w:r>
        <w:t xml:space="preserve"> </w:t>
      </w:r>
      <w:r>
        <w:rPr>
          <w:bCs/>
          <w:b/>
        </w:rPr>
        <w:t xml:space="preserve">Teacher Primary</w:t>
      </w:r>
      <w:r>
        <w:t xml:space="preserve">. The teacher demonstrates a strong commitment to delivering quality education in line with the standards of</w:t>
      </w:r>
      <w:r>
        <w:t xml:space="preserve"> </w:t>
      </w:r>
      <w:r>
        <w:rPr>
          <w:bCs/>
          <w:b/>
        </w:rPr>
        <w:t xml:space="preserve">Malaysia Kuala Lumpur</w:t>
      </w:r>
      <w:r>
        <w:t xml:space="preserve">. By addressing the areas for improvement and leveraging their strengths, the teacher can further enhance their pedagogical practice and contribute positively to the educational outcomes of their students. This review serves as a supportive tool for ongoing professional growth and excellence in teaching.</w:t>
      </w:r>
    </w:p>
    <w:p>
      <w:pPr>
        <w:pStyle w:val="BodyText"/>
      </w:pPr>
      <w:r>
        <w:rPr>
          <w:bCs/>
          <w:b/>
        </w:rPr>
        <w:t xml:space="preserve">Teacher's Signature:</w:t>
      </w:r>
    </w:p>
    <w:p>
      <w:pPr>
        <w:pStyle w:val="BodyText"/>
      </w:pPr>
      <w:r>
        <w:t xml:space="preserve">[Insert Name]</w:t>
      </w:r>
    </w:p>
    <w:p>
      <w:pPr>
        <w:pStyle w:val="BodyText"/>
      </w:pPr>
      <w:r>
        <w:rPr>
          <w:bCs/>
          <w:b/>
        </w:rPr>
        <w:t xml:space="preserve">Date:</w:t>
      </w:r>
      <w:r>
        <w:t xml:space="preserve"> </w:t>
      </w:r>
      <w:r>
        <w:t xml:space="preserve">[DD/MM/YYYY]</w:t>
      </w:r>
    </w:p>
    <w:p>
      <w:pPr>
        <w:pStyle w:val="BodyText"/>
      </w:pPr>
      <w:r>
        <w:rPr>
          <w:bCs/>
          <w:b/>
        </w:rPr>
        <w:t xml:space="preserve">Reviewer's Signature:</w:t>
      </w:r>
    </w:p>
    <w:p>
      <w:pPr>
        <w:pStyle w:val="BodyText"/>
      </w:pPr>
      <w:r>
        <w:t xml:space="preserve">[Insert Name]</w:t>
      </w:r>
    </w:p>
    <w:p>
      <w:pPr>
        <w:pStyle w:val="BodyText"/>
      </w:pPr>
      <w:r>
        <w:rPr>
          <w:bCs/>
          <w:b/>
        </w:rPr>
        <w:t xml:space="preserve">Date:</w:t>
      </w:r>
      <w:r>
        <w:t xml:space="preserve"> </w:t>
      </w:r>
      <w:r>
        <w:t xml:space="preserve">[DD/MM/YYYY]</w:t>
      </w:r>
    </w:p>
    <w:p>
      <w:pPr>
        <w:pStyle w:val="BodyText"/>
      </w:pPr>
      <w:r>
        <w:t xml:space="preserve">Confidential Document - For Internal Use Only | Ministry of Education Malaysia Framework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Kuala Lumpur, Malaysia</dc:title>
  <dc:creator/>
  <dc:language>en</dc:language>
  <cp:keywords/>
  <dcterms:created xsi:type="dcterms:W3CDTF">2026-10-10T04:35:06Z</dcterms:created>
  <dcterms:modified xsi:type="dcterms:W3CDTF">2026-10-10T04:35:06Z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