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t xml:space="preserve">Professional Observation and Evaluation for Teacher Primary</w:t>
      </w:r>
    </w:p>
    <w:p>
      <w:pPr>
        <w:pStyle w:val="BodyText"/>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Mathematics &amp; English Language</w:t>
      </w:r>
    </w:p>
    <w:p>
      <w:pPr>
        <w:pStyle w:val="BodyText"/>
      </w:pPr>
      <w:r>
        <w:rPr>
          <w:bCs/>
          <w:b/>
        </w:rPr>
        <w:t xml:space="preserve">Grade Level:</w:t>
      </w:r>
      <w:r>
        <w:t xml:space="preserve"> </w:t>
      </w:r>
      <w:r>
        <w:t xml:space="preserve">Grade 4 (Primary)</w:t>
      </w:r>
    </w:p>
    <w:p>
      <w:pPr>
        <w:pStyle w:val="BodyText"/>
      </w:pPr>
      <w:r>
        <w:rPr>
          <w:bCs/>
          <w:b/>
        </w:rPr>
        <w:t xml:space="preserve">Observer Name:</w:t>
      </w:r>
      <w:r>
        <w:t xml:space="preserve"> </w:t>
      </w:r>
      <w:r>
        <w:t xml:space="preserve">Senior Education Officer</w:t>
      </w:r>
    </w:p>
    <w:p>
      <w:pPr>
        <w:pStyle w:val="BodyText"/>
      </w:pPr>
      <w:r>
        <w:rPr>
          <w:bCs/>
          <w:b/>
        </w:rPr>
        <w:t xml:space="preserve">Teacher Name:</w:t>
      </w:r>
      <w:r>
        <w:t xml:space="preserve"> </w:t>
      </w:r>
      <w:r>
        <w:t xml:space="preserve">[Teacher Name Redacted]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instructional practices, classroom management, and pedagogical strategies employed by a</w:t>
      </w:r>
      <w:r>
        <w:t xml:space="preserve"> </w:t>
      </w:r>
      <w:r>
        <w:rPr>
          <w:bCs/>
          <w:b/>
        </w:rPr>
        <w:t xml:space="preserve">Teacher Primary</w:t>
      </w:r>
      <w:r>
        <w:t xml:space="preserve"> </w:t>
      </w:r>
      <w:r>
        <w:t xml:space="preserve">in a public school setting within</w:t>
      </w:r>
      <w:r>
        <w:t xml:space="preserve"> </w:t>
      </w:r>
      <w:r>
        <w:rPr>
          <w:bCs/>
          <w:b/>
        </w:rPr>
        <w:t xml:space="preserve">Myanmar Yangon</w:t>
      </w:r>
      <w:r>
        <w:t xml:space="preserve">. The observation took place during a standard morning session, focusing on the delivery of the national curriculum while integrating modern educational methodologies suitable for the evolving educational landscape of Yangon.</w:t>
      </w:r>
    </w:p>
    <w:p>
      <w:pPr>
        <w:pStyle w:val="BodyText"/>
      </w:pPr>
      <w:r>
        <w:t xml:space="preserve">The primary objective of this review is to support professional development, ensure alignment with the Ministry of Education's standards, and enhance student learning outcomes. The</w:t>
      </w:r>
      <w:r>
        <w:t xml:space="preserve"> </w:t>
      </w:r>
      <w:r>
        <w:rPr>
          <w:bCs/>
          <w:b/>
        </w:rPr>
        <w:t xml:space="preserve">Teacher Primary</w:t>
      </w:r>
      <w:r>
        <w:t xml:space="preserve"> </w:t>
      </w:r>
      <w:r>
        <w:t xml:space="preserve">demonstrated a strong commitment to student welfare and a solid grasp of foundational concepts. However, there are specific areas regarding interactive learning and resource utilization that require attention to fully meet the high standards expected in urban educational centers like Yangon.</w:t>
      </w:r>
    </w:p>
    <w:bookmarkEnd w:id="21"/>
    <w:bookmarkStart w:id="22" w:name="classroom-environment-and-management"/>
    <w:p>
      <w:pPr>
        <w:pStyle w:val="Heading2"/>
      </w:pPr>
      <w:r>
        <w:t xml:space="preserve">2. Classroom Environment and Management</w:t>
      </w:r>
    </w:p>
    <w:p>
      <w:pPr>
        <w:pStyle w:val="FirstParagraph"/>
      </w:pPr>
      <w:r>
        <w:t xml:space="preserve">The classroom environment in this</w:t>
      </w:r>
      <w:r>
        <w:t xml:space="preserve"> </w:t>
      </w:r>
      <w:r>
        <w:rPr>
          <w:bCs/>
          <w:b/>
        </w:rPr>
        <w:t xml:space="preserve">Myanmar Yangon</w:t>
      </w:r>
      <w:r>
        <w:t xml:space="preserve"> </w:t>
      </w:r>
      <w:r>
        <w:t xml:space="preserve">school was generally conducive to learning. The</w:t>
      </w:r>
      <w:r>
        <w:t xml:space="preserve"> </w:t>
      </w:r>
      <w:r>
        <w:rPr>
          <w:bCs/>
          <w:b/>
        </w:rPr>
        <w:t xml:space="preserve">Teacher Primary</w:t>
      </w:r>
      <w:r>
        <w:t xml:space="preserve"> </w:t>
      </w:r>
      <w:r>
        <w:t xml:space="preserve">maintained a respectful and disciplined atmosphere, which is crucial in large class sizes often found in the region. The seating arrangement was traditional, with rows facing the front, which facilitated direct instruction but limited peer-to-peer interaction.</w:t>
      </w:r>
    </w:p>
    <w:p>
      <w:pPr>
        <w:pStyle w:val="BodyText"/>
      </w:pPr>
      <w:r>
        <w:rPr>
          <w:bCs/>
          <w:b/>
        </w:rPr>
        <w:t xml:space="preserve">Strengths:</w:t>
      </w:r>
    </w:p>
    <w:p>
      <w:pPr>
        <w:numPr>
          <w:ilvl w:val="0"/>
          <w:numId w:val="1001"/>
        </w:numPr>
        <w:pStyle w:val="Compact"/>
      </w:pPr>
      <w:r>
        <w:t xml:space="preserve">The teacher established clear routines for transitions between activities, minimizing downtime.</w:t>
      </w:r>
    </w:p>
    <w:p>
      <w:pPr>
        <w:numPr>
          <w:ilvl w:val="0"/>
          <w:numId w:val="1001"/>
        </w:numPr>
        <w:pStyle w:val="Compact"/>
      </w:pPr>
      <w:r>
        <w:t xml:space="preserve">Classroom rules were displayed prominently in both Burmese and English, reinforcing bilingual awareness.</w:t>
      </w:r>
    </w:p>
    <w:p>
      <w:pPr>
        <w:numPr>
          <w:ilvl w:val="0"/>
          <w:numId w:val="1001"/>
        </w:numPr>
        <w:pStyle w:val="Compact"/>
      </w:pPr>
      <w:r>
        <w:t xml:space="preserve">The teacher demonstrated cultural sensitivity and warmth, creating a safe space for students to ask questions.</w:t>
      </w:r>
    </w:p>
    <w:p>
      <w:pPr>
        <w:pStyle w:val="FirstParagraph"/>
      </w:pPr>
      <w:r>
        <w:rPr>
          <w:bCs/>
          <w:b/>
        </w:rPr>
        <w:t xml:space="preserve">Areas for Improvement:</w:t>
      </w:r>
    </w:p>
    <w:p>
      <w:pPr>
        <w:numPr>
          <w:ilvl w:val="0"/>
          <w:numId w:val="1002"/>
        </w:numPr>
        <w:pStyle w:val="Compact"/>
      </w:pPr>
      <w:r>
        <w:t xml:space="preserve">Consider rearranging desks into small groups occasionally to encourage collaborative learning, a key component of modern pedagogy.</w:t>
      </w:r>
    </w:p>
    <w:p>
      <w:pPr>
        <w:numPr>
          <w:ilvl w:val="0"/>
          <w:numId w:val="1002"/>
        </w:numPr>
        <w:pStyle w:val="Compact"/>
      </w:pPr>
      <w:r>
        <w:t xml:space="preserve">Manage noise levels more effectively during group discussions to ensure all students can hear instructions.</w:t>
      </w:r>
    </w:p>
    <w:bookmarkEnd w:id="22"/>
    <w:bookmarkStart w:id="23" w:name="instructional-delivery-and-pedagogy"/>
    <w:p>
      <w:pPr>
        <w:pStyle w:val="Heading2"/>
      </w:pPr>
      <w:r>
        <w:t xml:space="preserve">3. Instructional Delivery and Pedagogy</w:t>
      </w:r>
    </w:p>
    <w:p>
      <w:pPr>
        <w:pStyle w:val="FirstParagraph"/>
      </w:pPr>
      <w:r>
        <w:t xml:space="preserve">The core of this</w:t>
      </w:r>
      <w:r>
        <w:t xml:space="preserve"> </w:t>
      </w:r>
      <w:r>
        <w:rPr>
          <w:bCs/>
          <w:b/>
        </w:rPr>
        <w:t xml:space="preserve">Peer Review Report</w:t>
      </w:r>
      <w:r>
        <w:t xml:space="preserve"> </w:t>
      </w:r>
      <w:r>
        <w:t xml:space="preserve">focuses on how the</w:t>
      </w:r>
      <w:r>
        <w:t xml:space="preserve"> </w:t>
      </w:r>
      <w:r>
        <w:rPr>
          <w:bCs/>
          <w:b/>
        </w:rPr>
        <w:t xml:space="preserve">Teacher Primary</w:t>
      </w:r>
      <w:r>
        <w:t xml:space="preserve"> </w:t>
      </w:r>
      <w:r>
        <w:t xml:space="preserve">delivered the lesson content. The lesson plan was well-structured and aligned with the national curriculum for primary education in Myanmar. The teacher utilized the chalkboard effectively, writing clearly and organizing information logically.</w:t>
      </w:r>
    </w:p>
    <w:p>
      <w:pPr>
        <w:pStyle w:val="BodyText"/>
      </w:pPr>
      <w:r>
        <w:rPr>
          <w:bCs/>
          <w:b/>
        </w:rPr>
        <w:t xml:space="preserve">Strengths:</w:t>
      </w:r>
    </w:p>
    <w:p>
      <w:pPr>
        <w:numPr>
          <w:ilvl w:val="0"/>
          <w:numId w:val="1003"/>
        </w:numPr>
        <w:pStyle w:val="Compact"/>
      </w:pPr>
      <w:r>
        <w:rPr>
          <w:bCs/>
          <w:b/>
        </w:rPr>
        <w:t xml:space="preserve">Content Knowledge:</w:t>
      </w:r>
      <w:r>
        <w:t xml:space="preserve"> </w:t>
      </w:r>
      <w:r>
        <w:t xml:space="preserve">The teacher displayed excellent subject matter expertise in Mathematics, explaining complex concepts like fractions using simple, relatable examples relevant to daily life in Yangon.</w:t>
      </w:r>
    </w:p>
    <w:p>
      <w:pPr>
        <w:numPr>
          <w:ilvl w:val="0"/>
          <w:numId w:val="1003"/>
        </w:numPr>
        <w:pStyle w:val="Compact"/>
      </w:pPr>
      <w:r>
        <w:rPr>
          <w:bCs/>
          <w:b/>
        </w:rPr>
        <w:t xml:space="preserve">Language Use:</w:t>
      </w:r>
      <w:r>
        <w:t xml:space="preserve"> </w:t>
      </w:r>
      <w:r>
        <w:t xml:space="preserve">The teacher successfully code-switched between Burmese and English, ensuring that students understood the instructions while being exposed to English vocabulary, which is highly valued in the Yangon education sector.</w:t>
      </w:r>
    </w:p>
    <w:p>
      <w:pPr>
        <w:numPr>
          <w:ilvl w:val="0"/>
          <w:numId w:val="1003"/>
        </w:numPr>
        <w:pStyle w:val="Compact"/>
      </w:pPr>
      <w:r>
        <w:rPr>
          <w:bCs/>
          <w:b/>
        </w:rPr>
        <w:t xml:space="preserve">Pacing:</w:t>
      </w:r>
      <w:r>
        <w:t xml:space="preserve"> </w:t>
      </w:r>
      <w:r>
        <w:t xml:space="preserve">The lesson moved at an appropriate pace, allowing time for students to process information and complete exercises.</w:t>
      </w:r>
    </w:p>
    <w:p>
      <w:pPr>
        <w:pStyle w:val="FirstParagraph"/>
      </w:pPr>
      <w:r>
        <w:rPr>
          <w:bCs/>
          <w:b/>
        </w:rPr>
        <w:t xml:space="preserve">Areas for Improvement:</w:t>
      </w:r>
    </w:p>
    <w:p>
      <w:pPr>
        <w:numPr>
          <w:ilvl w:val="0"/>
          <w:numId w:val="1004"/>
        </w:numPr>
        <w:pStyle w:val="Compact"/>
      </w:pPr>
      <w:r>
        <w:rPr>
          <w:bCs/>
          <w:b/>
        </w:rPr>
        <w:t xml:space="preserve">Student Engagement:</w:t>
      </w:r>
      <w:r>
        <w:t xml:space="preserve"> </w:t>
      </w:r>
      <w:r>
        <w:t xml:space="preserve">The instruction was heavily teacher-centered. The</w:t>
      </w:r>
      <w:r>
        <w:t xml:space="preserve"> </w:t>
      </w:r>
      <w:r>
        <w:rPr>
          <w:bCs/>
          <w:b/>
        </w:rPr>
        <w:t xml:space="preserve">Teacher Primary</w:t>
      </w:r>
      <w:r>
        <w:t xml:space="preserve"> </w:t>
      </w:r>
      <w:r>
        <w:t xml:space="preserve">should incorporate more inquiry-based learning techniques to stimulate critical thinking.</w:t>
      </w:r>
    </w:p>
    <w:p>
      <w:pPr>
        <w:numPr>
          <w:ilvl w:val="0"/>
          <w:numId w:val="1004"/>
        </w:numPr>
        <w:pStyle w:val="Compact"/>
      </w:pPr>
      <w:r>
        <w:rPr>
          <w:bCs/>
          <w:b/>
        </w:rPr>
        <w:t xml:space="preserve">Use of Technology:</w:t>
      </w:r>
      <w:r>
        <w:t xml:space="preserve"> </w:t>
      </w:r>
      <w:r>
        <w:t xml:space="preserve">Despite the growing availability of digital tools in Yangon, the lesson relied solely on traditional methods. Integrating simple visual aids or digital presentations could enhance engagement.</w:t>
      </w:r>
    </w:p>
    <w:bookmarkEnd w:id="23"/>
    <w:bookmarkStart w:id="24" w:name="student-engagement-and-assessment"/>
    <w:p>
      <w:pPr>
        <w:pStyle w:val="Heading2"/>
      </w:pPr>
      <w:r>
        <w:t xml:space="preserve">4. Student Engagement and Assessment</w:t>
      </w:r>
    </w:p>
    <w:p>
      <w:pPr>
        <w:pStyle w:val="FirstParagraph"/>
      </w:pPr>
      <w:r>
        <w:t xml:space="preserve">Student engagement was moderate. Most students were attentive, but a small group in the back row appeared disengaged. The</w:t>
      </w:r>
      <w:r>
        <w:t xml:space="preserve"> </w:t>
      </w:r>
      <w:r>
        <w:rPr>
          <w:bCs/>
          <w:b/>
        </w:rPr>
        <w:t xml:space="preserve">Teacher Primary</w:t>
      </w:r>
      <w:r>
        <w:t xml:space="preserve"> </w:t>
      </w:r>
      <w:r>
        <w:t xml:space="preserve">used questioning techniques to check for understanding, but the questions were largely recall-based rather than analytical.</w:t>
      </w:r>
    </w:p>
    <w:p>
      <w:pPr>
        <w:pStyle w:val="BodyText"/>
      </w:pPr>
      <w:r>
        <w:rPr>
          <w:bCs/>
          <w:b/>
        </w:rPr>
        <w:t xml:space="preserve">Strengths:</w:t>
      </w:r>
    </w:p>
    <w:p>
      <w:pPr>
        <w:numPr>
          <w:ilvl w:val="0"/>
          <w:numId w:val="1005"/>
        </w:numPr>
        <w:pStyle w:val="Compact"/>
      </w:pPr>
      <w:r>
        <w:t xml:space="preserve">The teacher provided immediate feedback on student answers, correcting misconceptions gently.</w:t>
      </w:r>
    </w:p>
    <w:p>
      <w:pPr>
        <w:numPr>
          <w:ilvl w:val="0"/>
          <w:numId w:val="1005"/>
        </w:numPr>
        <w:pStyle w:val="Compact"/>
      </w:pPr>
      <w:r>
        <w:t xml:space="preserve">Formative assessment was conducted through board work, allowing the teacher to identify common errors quickly.</w:t>
      </w:r>
    </w:p>
    <w:p>
      <w:pPr>
        <w:pStyle w:val="FirstParagraph"/>
      </w:pPr>
      <w:r>
        <w:rPr>
          <w:bCs/>
          <w:b/>
        </w:rPr>
        <w:t xml:space="preserve">Areas for Improvement:</w:t>
      </w:r>
    </w:p>
    <w:p>
      <w:pPr>
        <w:numPr>
          <w:ilvl w:val="0"/>
          <w:numId w:val="1006"/>
        </w:numPr>
        <w:pStyle w:val="Compact"/>
      </w:pPr>
      <w:r>
        <w:t xml:space="preserve">Implement differentiated instruction to support struggling learners and challenge advanced students.</w:t>
      </w:r>
    </w:p>
    <w:p>
      <w:pPr>
        <w:numPr>
          <w:ilvl w:val="0"/>
          <w:numId w:val="1006"/>
        </w:numPr>
        <w:pStyle w:val="Compact"/>
      </w:pPr>
      <w:r>
        <w:t xml:space="preserve">Use a wider variety of assessment methods, such as peer review or self-assessment, to empower students.</w:t>
      </w:r>
    </w:p>
    <w:bookmarkEnd w:id="24"/>
    <w:bookmarkStart w:id="25"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Teacher Primary</w:t>
      </w:r>
      <w:r>
        <w:t xml:space="preserve"> </w:t>
      </w:r>
      <w:r>
        <w:t xml:space="preserve">to enhance their practice in the context of</w:t>
      </w:r>
      <w:r>
        <w:t xml:space="preserve"> </w:t>
      </w:r>
      <w:r>
        <w:rPr>
          <w:bCs/>
          <w:b/>
        </w:rPr>
        <w:t xml:space="preserve">Myanmar Yangon</w:t>
      </w:r>
      <w:r>
        <w:t xml:space="preserve">:</w:t>
      </w:r>
    </w:p>
    <w:p>
      <w:pPr>
        <w:numPr>
          <w:ilvl w:val="0"/>
          <w:numId w:val="1007"/>
        </w:numPr>
        <w:pStyle w:val="Compact"/>
      </w:pPr>
      <w:r>
        <w:rPr>
          <w:bCs/>
          <w:b/>
        </w:rPr>
        <w:t xml:space="preserve">Adopt Interactive Strategies:</w:t>
      </w:r>
      <w:r>
        <w:t xml:space="preserve"> </w:t>
      </w:r>
      <w:r>
        <w:t xml:space="preserve">Incorporate at least one group activity per lesson to foster collaboration and communication skills among students.</w:t>
      </w:r>
    </w:p>
    <w:p>
      <w:pPr>
        <w:numPr>
          <w:ilvl w:val="0"/>
          <w:numId w:val="1007"/>
        </w:numPr>
        <w:pStyle w:val="Compact"/>
      </w:pPr>
      <w:r>
        <w:rPr>
          <w:bCs/>
          <w:b/>
        </w:rPr>
        <w:t xml:space="preserve">Integrate Local Context:</w:t>
      </w:r>
      <w:r>
        <w:t xml:space="preserve"> </w:t>
      </w:r>
      <w:r>
        <w:t xml:space="preserve">Use real-world examples from Yangon (e.g., local markets, transportation) to make math and science problems more relevant and engaging.</w:t>
      </w:r>
    </w:p>
    <w:p>
      <w:pPr>
        <w:numPr>
          <w:ilvl w:val="0"/>
          <w:numId w:val="1007"/>
        </w:numPr>
        <w:pStyle w:val="Compact"/>
      </w:pPr>
      <w:r>
        <w:rPr>
          <w:bCs/>
          <w:b/>
        </w:rPr>
        <w:t xml:space="preserve">Professional Development:</w:t>
      </w:r>
      <w:r>
        <w:t xml:space="preserve"> </w:t>
      </w:r>
      <w:r>
        <w:t xml:space="preserve">Attend workshops on student-centered learning and the use of low-cost educational technology, which are increasingly available in Yangon.</w:t>
      </w:r>
    </w:p>
    <w:p>
      <w:pPr>
        <w:numPr>
          <w:ilvl w:val="0"/>
          <w:numId w:val="1007"/>
        </w:numPr>
        <w:pStyle w:val="Compact"/>
      </w:pPr>
      <w:r>
        <w:rPr>
          <w:bCs/>
          <w:b/>
        </w:rPr>
        <w:t xml:space="preserve">Reflective Practice:</w:t>
      </w:r>
      <w:r>
        <w:t xml:space="preserve"> </w:t>
      </w:r>
      <w:r>
        <w:t xml:space="preserve">Maintain a teaching journal to reflect on daily lessons and identify areas for continuous improvement.</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highlights the dedication and competence of the</w:t>
      </w:r>
      <w:r>
        <w:t xml:space="preserve"> </w:t>
      </w:r>
      <w:r>
        <w:rPr>
          <w:bCs/>
          <w:b/>
        </w:rPr>
        <w:t xml:space="preserve">Teacher Primary</w:t>
      </w:r>
      <w:r>
        <w:t xml:space="preserve"> </w:t>
      </w:r>
      <w:r>
        <w:t xml:space="preserve">in delivering quality education in</w:t>
      </w:r>
      <w:r>
        <w:t xml:space="preserve"> </w:t>
      </w:r>
      <w:r>
        <w:rPr>
          <w:bCs/>
          <w:b/>
        </w:rPr>
        <w:t xml:space="preserve">Myanmar Yangon</w:t>
      </w:r>
      <w:r>
        <w:t xml:space="preserve">. While there is room for growth in terms of student engagement and modern pedagogical techniques, the teacher has a strong foundation upon which to build. By implementing the recommended strategies, the teacher can significantly enhance the learning experience for their students and contribute to the broader goal of educational excellence in Yangon.</w:t>
      </w:r>
    </w:p>
    <w:p>
      <w:pPr>
        <w:pStyle w:val="BodyText"/>
      </w:pPr>
      <w:r>
        <w:t xml:space="preserve">This review is intended to be a supportive tool for professional growth, fostering a culture of continuous improvement and collaboration within the school community.</w:t>
      </w:r>
    </w:p>
    <w:bookmarkEnd w:id="26"/>
    <w:p>
      <w:pPr>
        <w:pStyle w:val="BodyText"/>
      </w:pPr>
      <w:r>
        <w:rPr>
          <w:bCs/>
          <w:b/>
        </w:rPr>
        <w:t xml:space="preserve">Peer Review Report</w:t>
      </w:r>
      <w:r>
        <w:t xml:space="preserve"> </w:t>
      </w:r>
      <w:r>
        <w:t xml:space="preserve">| Prepared for Internal Use Only</w:t>
      </w:r>
      <w:r>
        <w:br/>
      </w:r>
      <w:r>
        <w:t xml:space="preserve">Educational Quality Assurance Unit | Yangon Region, Myanmar</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Yangon, Myanmar</dc:title>
  <dc:creator/>
  <dc:language>en</dc:language>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