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Education</w:t>
      </w:r>
      <w:r>
        <w:t xml:space="preserve"> </w:t>
      </w:r>
      <w:r>
        <w:t xml:space="preserve">-</w:t>
      </w:r>
      <w:r>
        <w:t xml:space="preserve"> </w:t>
      </w:r>
      <w:r>
        <w:t xml:space="preserve">Algiers,</w:t>
      </w:r>
      <w:r>
        <w:t xml:space="preserve"> </w:t>
      </w:r>
      <w:r>
        <w:t xml:space="preserve">Algeria</w:t>
      </w:r>
    </w:p>
    <w:bookmarkStart w:id="20" w:name="peer-review-report"/>
    <w:p>
      <w:pPr>
        <w:pStyle w:val="Heading1"/>
      </w:pPr>
      <w:r>
        <w:t xml:space="preserve">Peer Review Report</w:t>
      </w:r>
    </w:p>
    <w:p>
      <w:pPr>
        <w:pStyle w:val="FirstParagraph"/>
      </w:pPr>
      <w:r>
        <w:t xml:space="preserve">Ministry of National Education - Wilaya of Algiers</w:t>
      </w:r>
    </w:p>
    <w:p>
      <w:pPr>
        <w:pStyle w:val="BodyText"/>
      </w:pPr>
      <w:r>
        <w:t xml:space="preserve">Document Type:</w:t>
      </w:r>
      <w:r>
        <w:t xml:space="preserve"> </w:t>
      </w:r>
      <w:r>
        <w:t xml:space="preserve">Professional Evaluation &amp; Development</w:t>
      </w:r>
    </w:p>
    <w:p>
      <w:pPr>
        <w:pStyle w:val="BodyText"/>
      </w:pPr>
      <w:r>
        <w:t xml:space="preserve">Academic Year:</w:t>
      </w:r>
      <w:r>
        <w:t xml:space="preserve"> </w:t>
      </w:r>
      <w:r>
        <w:t xml:space="preserve">2023-2024</w:t>
      </w:r>
    </w:p>
    <w:p>
      <w:pPr>
        <w:pStyle w:val="BodyText"/>
      </w:pPr>
      <w:r>
        <w:t xml:space="preserve">Location:</w:t>
      </w:r>
      <w:r>
        <w:t xml:space="preserve"> </w:t>
      </w:r>
      <w:r>
        <w:t xml:space="preserve">Algiers, Algeria</w:t>
      </w:r>
    </w:p>
    <w:bookmarkEnd w:id="20"/>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formal documentation of the collaborative evaluation process conducted within the framework of the Algerian secondary education system. The primary objective of this review is to enhance pedagogical practices, ensure alignment with the national curriculum standards set by the Ministry of National Education, and foster professional growth among</w:t>
      </w:r>
      <w:r>
        <w:t xml:space="preserve"> </w:t>
      </w:r>
      <w:r>
        <w:rPr>
          <w:bCs/>
          <w:b/>
        </w:rPr>
        <w:t xml:space="preserve">Teacher Secondary</w:t>
      </w:r>
      <w:r>
        <w:t xml:space="preserve"> </w:t>
      </w:r>
      <w:r>
        <w:t xml:space="preserve">staff in the</w:t>
      </w:r>
      <w:r>
        <w:t xml:space="preserve"> </w:t>
      </w:r>
      <w:r>
        <w:rPr>
          <w:bCs/>
          <w:b/>
        </w:rPr>
        <w:t xml:space="preserve">Wilaya of Algiers</w:t>
      </w:r>
      <w:r>
        <w:t xml:space="preserve">.</w:t>
      </w:r>
    </w:p>
    <w:p>
      <w:pPr>
        <w:pStyle w:val="BodyText"/>
      </w:pPr>
      <w:r>
        <w:t xml:space="preserve">The review process is grounded in the principles of constructive feedback, mutual respect, and continuous improvement. It acknowledges the unique challenges and opportunities present in the educational landscape of</w:t>
      </w:r>
      <w:r>
        <w:t xml:space="preserve"> </w:t>
      </w:r>
      <w:r>
        <w:rPr>
          <w:bCs/>
          <w:b/>
        </w:rPr>
        <w:t xml:space="preserve">Algeria Algiers</w:t>
      </w:r>
      <w:r>
        <w:t xml:space="preserve">, including diverse student populations, rapid technological integration, and the ongoing modernization of teaching methodologies. This document is not merely an administrative formality but a strategic tool designed to support the</w:t>
      </w:r>
      <w:r>
        <w:t xml:space="preserve"> </w:t>
      </w:r>
      <w:r>
        <w:rPr>
          <w:bCs/>
          <w:b/>
        </w:rPr>
        <w:t xml:space="preserve">Teacher Secondary</w:t>
      </w:r>
      <w:r>
        <w:t xml:space="preserve"> </w:t>
      </w:r>
      <w:r>
        <w:t xml:space="preserve">in refining their instructional strategies and classroom management techniques.</w:t>
      </w:r>
    </w:p>
    <w:bookmarkEnd w:id="21"/>
    <w:bookmarkStart w:id="22" w:name="subject-information"/>
    <w:p>
      <w:pPr>
        <w:pStyle w:val="Heading2"/>
      </w:pPr>
      <w:r>
        <w:t xml:space="preserve">2. Subject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 of Teacher (Secondary):</w:t>
            </w:r>
          </w:p>
        </w:tc>
        <w:tc>
          <w:tcPr/>
          <w:p>
            <w:pPr>
              <w:pStyle w:val="Compact"/>
              <w:jc w:val="left"/>
            </w:pPr>
            <w:r>
              <w:t xml:space="preserve">[Insert Teacher Name]</w:t>
            </w:r>
          </w:p>
        </w:tc>
      </w:tr>
      <w:tr>
        <w:tc>
          <w:tcPr/>
          <w:p>
            <w:pPr>
              <w:pStyle w:val="Compact"/>
              <w:jc w:val="left"/>
            </w:pPr>
            <w:r>
              <w:rPr>
                <w:bCs/>
                <w:b/>
              </w:rPr>
              <w:t xml:space="preserve">Subject Specialization:</w:t>
            </w:r>
          </w:p>
        </w:tc>
        <w:tc>
          <w:tcPr/>
          <w:p>
            <w:pPr>
              <w:pStyle w:val="Compact"/>
              <w:jc w:val="left"/>
            </w:pPr>
            <w:r>
              <w:t xml:space="preserve">[Insert Subject, e.g., Mathematics, Literature, Physics]</w:t>
            </w:r>
          </w:p>
        </w:tc>
      </w:tr>
      <w:tr>
        <w:tc>
          <w:tcPr/>
          <w:p>
            <w:pPr>
              <w:pStyle w:val="Compact"/>
              <w:jc w:val="left"/>
            </w:pPr>
            <w:r>
              <w:rPr>
                <w:bCs/>
                <w:b/>
              </w:rPr>
              <w:t xml:space="preserve">School Name:</w:t>
            </w:r>
          </w:p>
        </w:tc>
        <w:tc>
          <w:tcPr/>
          <w:p>
            <w:pPr>
              <w:pStyle w:val="Compact"/>
              <w:jc w:val="left"/>
            </w:pPr>
            <w:r>
              <w:t xml:space="preserve">[Insert Lycée Name, Algiers]</w:t>
            </w:r>
          </w:p>
        </w:tc>
      </w:tr>
      <w:tr>
        <w:tc>
          <w:tcPr/>
          <w:p>
            <w:pPr>
              <w:pStyle w:val="Compact"/>
              <w:jc w:val="left"/>
            </w:pPr>
            <w:r>
              <w:rPr>
                <w:bCs/>
                <w:b/>
              </w:rPr>
              <w:t xml:space="preserve">Grade Level:</w:t>
            </w:r>
          </w:p>
        </w:tc>
        <w:tc>
          <w:tcPr/>
          <w:p>
            <w:pPr>
              <w:pStyle w:val="Compact"/>
              <w:jc w:val="left"/>
            </w:pPr>
            <w:r>
              <w:t xml:space="preserve">[Insert Grade, e.g., 1st Year Secondary]</w:t>
            </w:r>
          </w:p>
        </w:tc>
      </w:tr>
      <w:tr>
        <w:tc>
          <w:tcPr/>
          <w:p>
            <w:pPr>
              <w:pStyle w:val="Compact"/>
              <w:jc w:val="left"/>
            </w:pPr>
            <w:r>
              <w:rPr>
                <w:bCs/>
                <w:b/>
              </w:rPr>
              <w:t xml:space="preserve">Date of Observation:</w:t>
            </w:r>
          </w:p>
        </w:tc>
        <w:tc>
          <w:tcPr/>
          <w:p>
            <w:pPr>
              <w:pStyle w:val="Compact"/>
              <w:jc w:val="left"/>
            </w:pPr>
            <w:r>
              <w:t xml:space="preserve">[Insert Date]</w:t>
            </w:r>
          </w:p>
        </w:tc>
      </w:tr>
      <w:tr>
        <w:tc>
          <w:tcPr/>
          <w:p>
            <w:pPr>
              <w:pStyle w:val="Compact"/>
              <w:jc w:val="left"/>
            </w:pPr>
            <w:r>
              <w:rPr>
                <w:bCs/>
                <w:b/>
              </w:rPr>
              <w:t xml:space="preserve">Reviewer Name:</w:t>
            </w:r>
          </w:p>
        </w:tc>
        <w:tc>
          <w:tcPr/>
          <w:p>
            <w:pPr>
              <w:pStyle w:val="Compact"/>
              <w:jc w:val="left"/>
            </w:pPr>
            <w:r>
              <w:t xml:space="preserve">[Insert Peer Reviewer Name]</w:t>
            </w:r>
          </w:p>
        </w:tc>
      </w:tr>
    </w:tbl>
    <w:bookmarkEnd w:id="22"/>
    <w:bookmarkStart w:id="23" w:name="evaluation-criteria-and-rating-scale"/>
    <w:p>
      <w:pPr>
        <w:pStyle w:val="Heading2"/>
      </w:pPr>
      <w:r>
        <w:t xml:space="preserve">3. Evaluation Criteria and Rating Scale</w:t>
      </w:r>
    </w:p>
    <w:p>
      <w:pPr>
        <w:pStyle w:val="FirstParagraph"/>
      </w:pPr>
      <w:r>
        <w:t xml:space="preserve">The assessment of the</w:t>
      </w:r>
      <w:r>
        <w:t xml:space="preserve"> </w:t>
      </w:r>
      <w:r>
        <w:rPr>
          <w:bCs/>
          <w:b/>
        </w:rPr>
        <w:t xml:space="preserve">Teacher Secondary</w:t>
      </w:r>
      <w:r>
        <w:t xml:space="preserve"> </w:t>
      </w:r>
      <w:r>
        <w:t xml:space="preserve">is based on five core domains critical to effective instruction in Algerian secondary schools. Each domain is rated on a scale from 1 to 5, where:</w:t>
      </w:r>
    </w:p>
    <w:p>
      <w:pPr>
        <w:numPr>
          <w:ilvl w:val="0"/>
          <w:numId w:val="1001"/>
        </w:numPr>
        <w:pStyle w:val="Compact"/>
      </w:pPr>
      <w:r>
        <w:rPr>
          <w:bCs/>
          <w:b/>
        </w:rPr>
        <w:t xml:space="preserve">5 - Exemplary:</w:t>
      </w:r>
      <w:r>
        <w:t xml:space="preserve"> </w:t>
      </w:r>
      <w:r>
        <w:t xml:space="preserve">Consistently exceeds expectations; serves as a model for peers.</w:t>
      </w:r>
    </w:p>
    <w:p>
      <w:pPr>
        <w:numPr>
          <w:ilvl w:val="0"/>
          <w:numId w:val="1001"/>
        </w:numPr>
        <w:pStyle w:val="Compact"/>
      </w:pPr>
      <w:r>
        <w:rPr>
          <w:bCs/>
          <w:b/>
        </w:rPr>
        <w:t xml:space="preserve">4 - Proficient:</w:t>
      </w:r>
      <w:r>
        <w:t xml:space="preserve"> </w:t>
      </w:r>
      <w:r>
        <w:t xml:space="preserve">Meets all expectations; demonstrates strong competence.</w:t>
      </w:r>
    </w:p>
    <w:p>
      <w:pPr>
        <w:numPr>
          <w:ilvl w:val="0"/>
          <w:numId w:val="1001"/>
        </w:numPr>
        <w:pStyle w:val="Compact"/>
      </w:pPr>
      <w:r>
        <w:rPr>
          <w:bCs/>
          <w:b/>
        </w:rPr>
        <w:t xml:space="preserve">3 - Developing:</w:t>
      </w:r>
      <w:r>
        <w:t xml:space="preserve"> </w:t>
      </w:r>
      <w:r>
        <w:t xml:space="preserve">Meets most expectations; requires minor adjustments.</w:t>
      </w:r>
    </w:p>
    <w:p>
      <w:pPr>
        <w:numPr>
          <w:ilvl w:val="0"/>
          <w:numId w:val="1001"/>
        </w:numPr>
        <w:pStyle w:val="Compact"/>
      </w:pPr>
      <w:r>
        <w:rPr>
          <w:bCs/>
          <w:b/>
        </w:rPr>
        <w:t xml:space="preserve">2 - Needs Improvement:</w:t>
      </w:r>
      <w:r>
        <w:t xml:space="preserve"> </w:t>
      </w:r>
      <w:r>
        <w:t xml:space="preserve">Falls short in key areas; requires targeted support.</w:t>
      </w:r>
    </w:p>
    <w:p>
      <w:pPr>
        <w:numPr>
          <w:ilvl w:val="0"/>
          <w:numId w:val="1001"/>
        </w:numPr>
        <w:pStyle w:val="Compact"/>
      </w:pPr>
      <w:r>
        <w:rPr>
          <w:bCs/>
          <w:b/>
        </w:rPr>
        <w:t xml:space="preserve">1 - Unsatisfactory:</w:t>
      </w:r>
      <w:r>
        <w:t xml:space="preserve"> </w:t>
      </w:r>
      <w:r>
        <w:t xml:space="preserve">Significant gaps in performance; immediate intervention needed.</w:t>
      </w:r>
    </w:p>
    <w:bookmarkEnd w:id="23"/>
    <w:bookmarkStart w:id="29" w:name="detailed-observations-and-analysis"/>
    <w:p>
      <w:pPr>
        <w:pStyle w:val="Heading2"/>
      </w:pPr>
      <w:r>
        <w:t xml:space="preserve">4. Detailed Observations and Analysis</w:t>
      </w:r>
    </w:p>
    <w:bookmarkStart w:id="24" w:name="lesson-planning-and-curriculum-alignment"/>
    <w:p>
      <w:pPr>
        <w:pStyle w:val="Heading3"/>
      </w:pPr>
      <w:r>
        <w:t xml:space="preserve">4.1. Lesson Planning and Curriculum Alignment</w:t>
      </w:r>
    </w:p>
    <w:p>
      <w:pPr>
        <w:pStyle w:val="FirstParagraph"/>
      </w:pPr>
      <w:r>
        <w:t xml:space="preserve">The</w:t>
      </w:r>
      <w:r>
        <w:t xml:space="preserve"> </w:t>
      </w:r>
      <w:r>
        <w:rPr>
          <w:bCs/>
          <w:b/>
        </w:rPr>
        <w:t xml:space="preserve">Teacher Secondary</w:t>
      </w:r>
      <w:r>
        <w:t xml:space="preserve"> </w:t>
      </w:r>
      <w:r>
        <w:t xml:space="preserve">demonstrated a solid understanding of the national curriculum requirements for the specific subject matter. The lesson plan was well-structured, with clear learning objectives that aligned with the competencies expected at this level in</w:t>
      </w:r>
      <w:r>
        <w:t xml:space="preserve"> </w:t>
      </w:r>
      <w:r>
        <w:rPr>
          <w:bCs/>
          <w:b/>
        </w:rPr>
        <w:t xml:space="preserve">Algeria Algiers</w:t>
      </w:r>
      <w:r>
        <w:t xml:space="preserve">. The integration of local context and cultural relevance into the lesson content was noted as a strength, helping students connect theoretical concepts to their daily lives in Algiers. However, there is room to enhance the differentiation of activities to better cater to varying student proficiency levels within the class.</w:t>
      </w:r>
    </w:p>
    <w:p>
      <w:pPr>
        <w:pStyle w:val="BodyText"/>
      </w:pPr>
      <w:r>
        <w:rPr>
          <w:bCs/>
          <w:b/>
        </w:rPr>
        <w:t xml:space="preserve">Rating: 4</w:t>
      </w:r>
    </w:p>
    <w:bookmarkEnd w:id="24"/>
    <w:bookmarkStart w:id="25" w:name="instructional-delivery-and-engagement"/>
    <w:p>
      <w:pPr>
        <w:pStyle w:val="Heading3"/>
      </w:pPr>
      <w:r>
        <w:t xml:space="preserve">4.2. Instructional Delivery and Engagement</w:t>
      </w:r>
    </w:p>
    <w:p>
      <w:pPr>
        <w:pStyle w:val="FirstParagraph"/>
      </w:pPr>
      <w:r>
        <w:t xml:space="preserve">During the observed session, the teacher employed a variety of instructional strategies, including direct instruction, group work, and questioning techniques. The use of bilingual resources (Arabic/French or Arabic/English, depending on the subject) was handled effectively, ensuring clarity for all students. The teacher maintained a positive and respectful classroom environment, encouraging student participation. In the context of</w:t>
      </w:r>
      <w:r>
        <w:t xml:space="preserve"> </w:t>
      </w:r>
      <w:r>
        <w:rPr>
          <w:bCs/>
          <w:b/>
        </w:rPr>
        <w:t xml:space="preserve">Algeria Algiers</w:t>
      </w:r>
      <w:r>
        <w:t xml:space="preserve">, where class sizes can be large, the teacher successfully managed student attention and fostered an inclusive atmosphere. Suggestions for improvement include incorporating more interactive digital tools to increase student engagement and cater to modern learning preferences.</w:t>
      </w:r>
    </w:p>
    <w:p>
      <w:pPr>
        <w:pStyle w:val="BodyText"/>
      </w:pPr>
      <w:r>
        <w:rPr>
          <w:bCs/>
          <w:b/>
        </w:rPr>
        <w:t xml:space="preserve">Rating: 4</w:t>
      </w:r>
    </w:p>
    <w:bookmarkEnd w:id="25"/>
    <w:bookmarkStart w:id="26" w:name="classroom-management-and-discipline"/>
    <w:p>
      <w:pPr>
        <w:pStyle w:val="Heading3"/>
      </w:pPr>
      <w:r>
        <w:t xml:space="preserve">4.3. Classroom Management and Discipline</w:t>
      </w:r>
    </w:p>
    <w:p>
      <w:pPr>
        <w:pStyle w:val="FirstParagraph"/>
      </w:pPr>
      <w:r>
        <w:t xml:space="preserve">Classroom management was generally effective. The teacher established clear routines and expectations, which contributed to a productive learning environment. Transitions between activities were smooth, minimizing downtime. The teacher addressed minor disruptions calmly and professionally, maintaining authority without being authoritarian. This approach is particularly important in secondary schools in Algiers, where adolescent dynamics can be complex. To further improve, the teacher could implement more proactive strategies to prevent off-task behavior, such as varied pacing and movement within the classroom.</w:t>
      </w:r>
    </w:p>
    <w:p>
      <w:pPr>
        <w:pStyle w:val="BodyText"/>
      </w:pPr>
      <w:r>
        <w:rPr>
          <w:bCs/>
          <w:b/>
        </w:rPr>
        <w:t xml:space="preserve">Rating: 4</w:t>
      </w:r>
    </w:p>
    <w:bookmarkEnd w:id="26"/>
    <w:bookmarkStart w:id="27" w:name="assessment-and-feedback"/>
    <w:p>
      <w:pPr>
        <w:pStyle w:val="Heading3"/>
      </w:pPr>
      <w:r>
        <w:t xml:space="preserve">4.4. Assessment and Feedback</w:t>
      </w:r>
    </w:p>
    <w:p>
      <w:pPr>
        <w:pStyle w:val="FirstParagraph"/>
      </w:pPr>
      <w:r>
        <w:t xml:space="preserve">The teacher utilized formative assessment techniques throughout the lesson to check for understanding. Questions were well-targeted, and the teacher provided timely feedback to students. The alignment between the learning objectives and the assessment methods was evident. However, the feedback could be more specific and actionable to guide student improvement. In line with the evolving educational standards in</w:t>
      </w:r>
      <w:r>
        <w:t xml:space="preserve"> </w:t>
      </w:r>
      <w:r>
        <w:rPr>
          <w:bCs/>
          <w:b/>
        </w:rPr>
        <w:t xml:space="preserve">Algeria Algiers</w:t>
      </w:r>
      <w:r>
        <w:t xml:space="preserve">, there is an opportunity to integrate more self-assessment and peer-assessment activities to promote student autonomy and critical thinking.</w:t>
      </w:r>
    </w:p>
    <w:p>
      <w:pPr>
        <w:pStyle w:val="BodyText"/>
      </w:pPr>
      <w:r>
        <w:rPr>
          <w:bCs/>
          <w:b/>
        </w:rPr>
        <w:t xml:space="preserve">Rating: 3</w:t>
      </w:r>
    </w:p>
    <w:bookmarkEnd w:id="27"/>
    <w:bookmarkStart w:id="28" w:name="professionalism-and-collaboration"/>
    <w:p>
      <w:pPr>
        <w:pStyle w:val="Heading3"/>
      </w:pPr>
      <w:r>
        <w:t xml:space="preserve">4.5. Professionalism and Collaboration</w:t>
      </w:r>
    </w:p>
    <w:p>
      <w:pPr>
        <w:pStyle w:val="FirstParagraph"/>
      </w:pPr>
      <w:r>
        <w:t xml:space="preserve">The</w:t>
      </w:r>
      <w:r>
        <w:t xml:space="preserve"> </w:t>
      </w:r>
      <w:r>
        <w:rPr>
          <w:bCs/>
          <w:b/>
        </w:rPr>
        <w:t xml:space="preserve">Teacher Secondary</w:t>
      </w:r>
      <w:r>
        <w:t xml:space="preserve"> </w:t>
      </w:r>
      <w:r>
        <w:t xml:space="preserve">exhibited a high level of professionalism, punctuality, and preparedness. The teacher was open to the peer review process, demonstrating a willingness to reflect on their practice and accept constructive feedback. Collaboration with colleagues was evident, as the teacher referenced shared resources and strategies developed within the school community. This collaborative spirit is essential for the continuous improvement of education in</w:t>
      </w:r>
      <w:r>
        <w:t xml:space="preserve"> </w:t>
      </w:r>
      <w:r>
        <w:rPr>
          <w:bCs/>
          <w:b/>
        </w:rPr>
        <w:t xml:space="preserve">Algeria Algiers</w:t>
      </w:r>
      <w:r>
        <w:t xml:space="preserve">. The teacher is encouraged to take on a more active role in professional development workshops and curriculum planning committees.</w:t>
      </w:r>
    </w:p>
    <w:p>
      <w:pPr>
        <w:pStyle w:val="BodyText"/>
      </w:pPr>
      <w:r>
        <w:rPr>
          <w:bCs/>
          <w:b/>
        </w:rPr>
        <w:t xml:space="preserve">Rating: 5</w:t>
      </w:r>
    </w:p>
    <w:bookmarkEnd w:id="28"/>
    <w:bookmarkEnd w:id="29"/>
    <w:bookmarkStart w:id="32" w:name="strengths-and-areas-for-improvement"/>
    <w:p>
      <w:pPr>
        <w:pStyle w:val="Heading2"/>
      </w:pPr>
      <w:r>
        <w:t xml:space="preserve">5. Strengths and Areas for Improvement</w:t>
      </w:r>
    </w:p>
    <w:bookmarkStart w:id="30" w:name="key-strengths"/>
    <w:p>
      <w:pPr>
        <w:pStyle w:val="Heading3"/>
      </w:pPr>
      <w:r>
        <w:t xml:space="preserve">Key Strengths:</w:t>
      </w:r>
    </w:p>
    <w:p>
      <w:pPr>
        <w:numPr>
          <w:ilvl w:val="0"/>
          <w:numId w:val="1002"/>
        </w:numPr>
        <w:pStyle w:val="Compact"/>
      </w:pPr>
      <w:r>
        <w:t xml:space="preserve">Strong alignment with national curriculum standards.</w:t>
      </w:r>
    </w:p>
    <w:p>
      <w:pPr>
        <w:numPr>
          <w:ilvl w:val="0"/>
          <w:numId w:val="1002"/>
        </w:numPr>
        <w:pStyle w:val="Compact"/>
      </w:pPr>
      <w:r>
        <w:t xml:space="preserve">Effective use of bilingual instruction to enhance comprehension.</w:t>
      </w:r>
    </w:p>
    <w:p>
      <w:pPr>
        <w:numPr>
          <w:ilvl w:val="0"/>
          <w:numId w:val="1002"/>
        </w:numPr>
        <w:pStyle w:val="Compact"/>
      </w:pPr>
      <w:r>
        <w:t xml:space="preserve">Positive and respectful classroom climate.</w:t>
      </w:r>
    </w:p>
    <w:p>
      <w:pPr>
        <w:numPr>
          <w:ilvl w:val="0"/>
          <w:numId w:val="1002"/>
        </w:numPr>
        <w:pStyle w:val="Compact"/>
      </w:pPr>
      <w:r>
        <w:t xml:space="preserve">High level of professionalism and openness to feedback.</w:t>
      </w:r>
    </w:p>
    <w:bookmarkEnd w:id="30"/>
    <w:bookmarkStart w:id="31" w:name="areas-for-improvement"/>
    <w:p>
      <w:pPr>
        <w:pStyle w:val="Heading3"/>
      </w:pPr>
      <w:r>
        <w:t xml:space="preserve">Areas for Improvement:</w:t>
      </w:r>
    </w:p>
    <w:p>
      <w:pPr>
        <w:numPr>
          <w:ilvl w:val="0"/>
          <w:numId w:val="1003"/>
        </w:numPr>
        <w:pStyle w:val="Compact"/>
      </w:pPr>
      <w:r>
        <w:t xml:space="preserve">Increase differentiation in lesson activities to address diverse student needs.</w:t>
      </w:r>
    </w:p>
    <w:p>
      <w:pPr>
        <w:numPr>
          <w:ilvl w:val="0"/>
          <w:numId w:val="1003"/>
        </w:numPr>
        <w:pStyle w:val="Compact"/>
      </w:pPr>
      <w:r>
        <w:t xml:space="preserve">Integrate more digital tools and interactive technologies.</w:t>
      </w:r>
    </w:p>
    <w:p>
      <w:pPr>
        <w:numPr>
          <w:ilvl w:val="0"/>
          <w:numId w:val="1003"/>
        </w:numPr>
        <w:pStyle w:val="Compact"/>
      </w:pPr>
      <w:r>
        <w:t xml:space="preserve">Provide more specific and actionable feedback to students.</w:t>
      </w:r>
    </w:p>
    <w:p>
      <w:pPr>
        <w:numPr>
          <w:ilvl w:val="0"/>
          <w:numId w:val="1003"/>
        </w:numPr>
        <w:pStyle w:val="Compact"/>
      </w:pPr>
      <w:r>
        <w:t xml:space="preserve">Implement proactive classroom management strategies.</w:t>
      </w:r>
    </w:p>
    <w:bookmarkEnd w:id="31"/>
    <w:bookmarkEnd w:id="32"/>
    <w:bookmarkStart w:id="33" w:name="recommendations-and-action-plan"/>
    <w:p>
      <w:pPr>
        <w:pStyle w:val="Heading2"/>
      </w:pPr>
      <w:r>
        <w:t xml:space="preserve">6. Recommendations and Action Plan</w:t>
      </w:r>
    </w:p>
    <w:p>
      <w:pPr>
        <w:pStyle w:val="FirstParagraph"/>
      </w:pPr>
      <w:r>
        <w:t xml:space="preserve">Based on the observations and analysis in this</w:t>
      </w:r>
      <w:r>
        <w:t xml:space="preserve"> </w:t>
      </w:r>
      <w:r>
        <w:rPr>
          <w:bCs/>
          <w:b/>
        </w:rPr>
        <w:t xml:space="preserve">Peer Review Report</w:t>
      </w:r>
      <w:r>
        <w:t xml:space="preserve">, the following recommendations are proposed for the</w:t>
      </w:r>
      <w:r>
        <w:t xml:space="preserve"> </w:t>
      </w:r>
      <w:r>
        <w:rPr>
          <w:bCs/>
          <w:b/>
        </w:rPr>
        <w:t xml:space="preserve">Teacher Secondary</w:t>
      </w:r>
      <w:r>
        <w:t xml:space="preserve">:</w:t>
      </w:r>
    </w:p>
    <w:p>
      <w:pPr>
        <w:numPr>
          <w:ilvl w:val="0"/>
          <w:numId w:val="1004"/>
        </w:numPr>
        <w:pStyle w:val="Compact"/>
      </w:pPr>
      <w:r>
        <w:rPr>
          <w:bCs/>
          <w:b/>
        </w:rPr>
        <w:t xml:space="preserve">Professional Development:</w:t>
      </w:r>
      <w:r>
        <w:t xml:space="preserve"> </w:t>
      </w:r>
      <w:r>
        <w:t xml:space="preserve">Attend workshops on differentiated instruction and the use of educational technology, available through the Wilaya of Algiers training programs.</w:t>
      </w:r>
    </w:p>
    <w:p>
      <w:pPr>
        <w:numPr>
          <w:ilvl w:val="0"/>
          <w:numId w:val="1004"/>
        </w:numPr>
        <w:pStyle w:val="Compact"/>
      </w:pPr>
      <w:r>
        <w:rPr>
          <w:bCs/>
          <w:b/>
        </w:rPr>
        <w:t xml:space="preserve">Peer Collaboration:</w:t>
      </w:r>
      <w:r>
        <w:t xml:space="preserve"> </w:t>
      </w:r>
      <w:r>
        <w:t xml:space="preserve">Engage in regular lesson study groups with colleagues to share best practices and innovative teaching strategies.</w:t>
      </w:r>
    </w:p>
    <w:p>
      <w:pPr>
        <w:numPr>
          <w:ilvl w:val="0"/>
          <w:numId w:val="1004"/>
        </w:numPr>
        <w:pStyle w:val="Compact"/>
      </w:pPr>
      <w:r>
        <w:rPr>
          <w:bCs/>
          <w:b/>
        </w:rPr>
        <w:t xml:space="preserve">Reflective Practice:</w:t>
      </w:r>
      <w:r>
        <w:t xml:space="preserve"> </w:t>
      </w:r>
      <w:r>
        <w:t xml:space="preserve">Maintain a teaching journal to reflect on lessons, student responses, and areas for improvement.</w:t>
      </w:r>
    </w:p>
    <w:p>
      <w:pPr>
        <w:numPr>
          <w:ilvl w:val="0"/>
          <w:numId w:val="1004"/>
        </w:numPr>
        <w:pStyle w:val="Compact"/>
      </w:pPr>
      <w:r>
        <w:rPr>
          <w:bCs/>
          <w:b/>
        </w:rPr>
        <w:t xml:space="preserve">Student Feedback:</w:t>
      </w:r>
      <w:r>
        <w:t xml:space="preserve"> </w:t>
      </w:r>
      <w:r>
        <w:t xml:space="preserve">Implement periodic student surveys to gather insights on teaching effectiveness and classroom environment.</w:t>
      </w:r>
    </w:p>
    <w:p>
      <w:pPr>
        <w:pStyle w:val="FirstParagraph"/>
      </w:pPr>
      <w:r>
        <w:t xml:space="preserve">A follow-up review is recommended in three months to monitor progress and provide additional support as needed. This ongoing process is vital for ensuring high-quality education in</w:t>
      </w:r>
      <w:r>
        <w:t xml:space="preserve"> </w:t>
      </w:r>
      <w:r>
        <w:rPr>
          <w:bCs/>
          <w:b/>
        </w:rPr>
        <w:t xml:space="preserve">Algeria Algiers</w:t>
      </w:r>
      <w:r>
        <w:t xml:space="preserve"> </w:t>
      </w:r>
      <w:r>
        <w:t xml:space="preserve">and supporting the professional growth of all</w:t>
      </w:r>
      <w:r>
        <w:t xml:space="preserve"> </w:t>
      </w:r>
      <w:r>
        <w:rPr>
          <w:bCs/>
          <w:b/>
        </w:rPr>
        <w:t xml:space="preserve">Teacher Secondary</w:t>
      </w:r>
      <w:r>
        <w:t xml:space="preserve"> </w:t>
      </w:r>
      <w:r>
        <w:t xml:space="preserve">staff.</w:t>
      </w:r>
    </w:p>
    <w:bookmarkEnd w:id="33"/>
    <w:p>
      <w:pPr>
        <w:pStyle w:val="BodyText"/>
      </w:pPr>
      <w:r>
        <w:rPr>
          <w:bCs/>
          <w:b/>
        </w:rPr>
        <w:t xml:space="preserve">Teacher (Secondary) Signature:</w:t>
      </w:r>
    </w:p>
    <w:p>
      <w:pPr>
        <w:pStyle w:val="BodyText"/>
      </w:pPr>
      <w:r>
        <w:t xml:space="preserve">Date: _______________</w:t>
      </w:r>
    </w:p>
    <w:p>
      <w:pPr>
        <w:pStyle w:val="BodyText"/>
      </w:pPr>
      <w:r>
        <w:rPr>
          <w:bCs/>
          <w:b/>
        </w:rPr>
        <w:t xml:space="preserve">Peer Reviewer Signature:</w:t>
      </w:r>
    </w:p>
    <w:p>
      <w:pPr>
        <w:pStyle w:val="BodyText"/>
      </w:pPr>
      <w:r>
        <w:t xml:space="preserve">Date: _______________</w:t>
      </w:r>
    </w:p>
    <w:p>
      <w:pPr>
        <w:pStyle w:val="BodyText"/>
      </w:pPr>
      <w:r>
        <w:t xml:space="preserve">This</w:t>
      </w:r>
      <w:r>
        <w:t xml:space="preserve"> </w:t>
      </w:r>
      <w:r>
        <w:rPr>
          <w:bCs/>
          <w:b/>
        </w:rPr>
        <w:t xml:space="preserve">Peer Review Report</w:t>
      </w:r>
      <w:r>
        <w:t xml:space="preserve"> </w:t>
      </w:r>
      <w:r>
        <w:t xml:space="preserve">is confidential and intended for professional development purposes only. It is prepared in accordance with the guidelines of the Ministry of National Education,</w:t>
      </w:r>
      <w:r>
        <w:t xml:space="preserve"> </w:t>
      </w:r>
      <w:r>
        <w:rPr>
          <w:bCs/>
          <w:b/>
        </w:rPr>
        <w:t xml:space="preserve">Algeria Algiers</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Education - Algiers, Algeria</dc:title>
  <dc:creator/>
  <dc:language>en</dc:language>
  <cp:keywords/>
  <dcterms:created xsi:type="dcterms:W3CDTF">2026-10-10T04:05:12Z</dcterms:created>
  <dcterms:modified xsi:type="dcterms:W3CDTF">2026-10-10T04:05:12Z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