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Secondary Professional Practice Review</w:t>
      </w:r>
    </w:p>
    <w:p>
      <w:pPr>
        <w:pStyle w:val="BodyText"/>
      </w:pPr>
      <w:r>
        <w:rPr>
          <w:bCs/>
          <w:b/>
        </w:rPr>
        <w:t xml:space="preserve">Location:</w:t>
      </w:r>
      <w:r>
        <w:t xml:space="preserve"> </w:t>
      </w:r>
      <w:r>
        <w:t xml:space="preserve">Brisbane, Queensland, Australia</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and expectations set forth by the Queensland College of Teachers (QCT) and the specific pedagogical frameworks utilized within the Brisbane school sector. The purpose of this document is to provide a comprehensive, evidence-based evaluation of the professional practice of a Teacher Secondary. This review aims to support continuous professional development, ensure alignment with the Australian Professional Standards for Teachers (APST), and enhance student learning outcomes within the secondary education context of Brisbane.</w:t>
      </w:r>
    </w:p>
    <w:p>
      <w:pPr>
        <w:pStyle w:val="BodyText"/>
      </w:pPr>
      <w:r>
        <w:t xml:space="preserve">The review process involved classroom observations, analysis of assessment data, review of curriculum planning documents, and reflective dialogue between the peer reviewer and the Teacher Secondary. The focus areas include curriculum design, instructional strategies, assessment practices, classroom management, and professional engagement, all contextualized within the diverse educational landscape of Brisbane.</w:t>
      </w:r>
    </w:p>
    <w:bookmarkEnd w:id="21"/>
    <w:bookmarkStart w:id="22" w:name="teacher-profile-and-context"/>
    <w:p>
      <w:pPr>
        <w:pStyle w:val="Heading2"/>
      </w:pPr>
      <w:r>
        <w:t xml:space="preserve">2. Teacher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Teacher Name</w:t>
            </w:r>
          </w:p>
        </w:tc>
        <w:tc>
          <w:tcPr/>
          <w:p>
            <w:pPr>
              <w:pStyle w:val="Compact"/>
              <w:jc w:val="left"/>
            </w:pPr>
            <w:r>
              <w:t xml:space="preserve">[Teacher Name]</w:t>
            </w:r>
          </w:p>
        </w:tc>
      </w:tr>
      <w:tr>
        <w:tc>
          <w:tcPr/>
          <w:p>
            <w:pPr>
              <w:pStyle w:val="Compact"/>
              <w:jc w:val="left"/>
            </w:pPr>
            <w:r>
              <w:t xml:space="preserve">Subject Area</w:t>
            </w:r>
          </w:p>
        </w:tc>
        <w:tc>
          <w:tcPr/>
          <w:p>
            <w:pPr>
              <w:pStyle w:val="Compact"/>
              <w:jc w:val="left"/>
            </w:pPr>
            <w:r>
              <w:t xml:space="preserve">Secondary Science (Years 7-12)</w:t>
            </w:r>
          </w:p>
        </w:tc>
      </w:tr>
      <w:tr>
        <w:tc>
          <w:tcPr/>
          <w:p>
            <w:pPr>
              <w:pStyle w:val="Compact"/>
              <w:jc w:val="left"/>
            </w:pPr>
            <w:r>
              <w:t xml:space="preserve">School Location</w:t>
            </w:r>
          </w:p>
        </w:tc>
        <w:tc>
          <w:tcPr/>
          <w:p>
            <w:pPr>
              <w:pStyle w:val="Compact"/>
              <w:jc w:val="left"/>
            </w:pPr>
            <w:r>
              <w:t xml:space="preserve">Brisbane, Queensland, Australia</w:t>
            </w:r>
          </w:p>
        </w:tc>
      </w:tr>
      <w:tr>
        <w:tc>
          <w:tcPr/>
          <w:p>
            <w:pPr>
              <w:pStyle w:val="Compact"/>
              <w:jc w:val="left"/>
            </w:pPr>
            <w:r>
              <w:t xml:space="preserve">Review Period</w:t>
            </w:r>
          </w:p>
        </w:tc>
        <w:tc>
          <w:tcPr/>
          <w:p>
            <w:pPr>
              <w:pStyle w:val="Compact"/>
              <w:jc w:val="left"/>
            </w:pPr>
            <w:r>
              <w:t xml:space="preserve">Term 3, 2023</w:t>
            </w:r>
          </w:p>
        </w:tc>
      </w:tr>
      <w:tr>
        <w:tc>
          <w:tcPr/>
          <w:p>
            <w:pPr>
              <w:pStyle w:val="Compact"/>
              <w:jc w:val="left"/>
            </w:pPr>
            <w:r>
              <w:t xml:space="preserve">Peer Reviewer</w:t>
            </w:r>
          </w:p>
        </w:tc>
        <w:tc>
          <w:tcPr/>
          <w:p>
            <w:pPr>
              <w:pStyle w:val="Compact"/>
              <w:jc w:val="left"/>
            </w:pPr>
            <w:r>
              <w:t xml:space="preserve">[Reviewer Name], Senior Teacher</w:t>
            </w:r>
          </w:p>
        </w:tc>
      </w:tr>
    </w:tbl>
    <w:bookmarkEnd w:id="22"/>
    <w:bookmarkStart w:id="23" w:name="curriculum-planning-and-implementation"/>
    <w:p>
      <w:pPr>
        <w:pStyle w:val="Heading2"/>
      </w:pPr>
      <w:r>
        <w:t xml:space="preserve">3. Curriculum Planning and Implementation</w:t>
      </w:r>
    </w:p>
    <w:p>
      <w:pPr>
        <w:pStyle w:val="FirstParagraph"/>
      </w:pPr>
      <w:r>
        <w:t xml:space="preserve">The Teacher Secondary demonstrates a strong understanding of the Queensland Curriculum and Assessment Authority (QCAA) requirements. Lesson plans are meticulously structured, aligning with the syllabus outcomes for secondary students. The integration of cross-curriculum priorities, such as Aboriginal and Torres Strait Islander histories and cultures, is evident and appropriately contextualized for the Brisbane student demographic.</w:t>
      </w:r>
    </w:p>
    <w:p>
      <w:pPr>
        <w:pStyle w:val="BodyText"/>
      </w:pPr>
      <w:r>
        <w:t xml:space="preserve">Differentiation strategies are well-implemented, catering to the diverse learning needs of students, including those with additional support needs and high-achieving students. The use of inquiry-based learning approaches in science lessons encourages critical thinking and scientific literacy, which are essential skills for secondary students in Australia.</w:t>
      </w:r>
    </w:p>
    <w:bookmarkEnd w:id="23"/>
    <w:bookmarkStart w:id="24" w:name="X0bae5918c0617fcc3f1474323ff1a57f697935e"/>
    <w:p>
      <w:pPr>
        <w:pStyle w:val="Heading2"/>
      </w:pPr>
      <w:r>
        <w:t xml:space="preserve">4. Instructional Strategies and Classroom Practice</w:t>
      </w:r>
    </w:p>
    <w:p>
      <w:pPr>
        <w:pStyle w:val="FirstParagraph"/>
      </w:pPr>
      <w:r>
        <w:t xml:space="preserve">Observations reveal that the Teacher Secondary employs a variety of engaging instructional strategies. The use of technology, such as interactive simulations and digital collaboration tools, enhances student engagement and supports the development of digital literacy. The teacher effectively facilitates group work, promoting collaborative learning and peer-to-peer interaction.</w:t>
      </w:r>
    </w:p>
    <w:p>
      <w:pPr>
        <w:pStyle w:val="BodyText"/>
      </w:pPr>
      <w:r>
        <w:t xml:space="preserve">Questioning techniques are used effectively to probe student understanding and encourage higher-order thinking. The teacher provides timely and constructive feedback, which is specific and actionable, helping students to improve their learning. The classroom environment is inclusive and respectful, reflecting the values of the Brisbane community and the broader Australian educational ethos.</w:t>
      </w:r>
    </w:p>
    <w:bookmarkEnd w:id="24"/>
    <w:bookmarkStart w:id="25" w:name="assessment-and-reporting"/>
    <w:p>
      <w:pPr>
        <w:pStyle w:val="Heading2"/>
      </w:pPr>
      <w:r>
        <w:t xml:space="preserve">5. Assessment and Reporting</w:t>
      </w:r>
    </w:p>
    <w:p>
      <w:pPr>
        <w:pStyle w:val="FirstParagraph"/>
      </w:pPr>
      <w:r>
        <w:t xml:space="preserve">The Teacher Secondary designs assessments that are valid, reliable, and aligned with curriculum outcomes. A balanced approach to formative and summative assessment is evident, with regular opportunities for students to receive feedback on their progress. Assessment tasks are designed to be authentic and relevant to the lives of secondary students in Brisbane.</w:t>
      </w:r>
    </w:p>
    <w:p>
      <w:pPr>
        <w:pStyle w:val="BodyText"/>
      </w:pPr>
      <w:r>
        <w:t xml:space="preserve">Data from assessments is used effectively to inform teaching practice and to identify students who may require additional support. The teacher maintains accurate and up-to-date records, ensuring compliance with school policies and QCAA requirements. Reporting to parents and carers is clear, informative, and constructive, fostering strong home-school partnerships.</w:t>
      </w:r>
    </w:p>
    <w:bookmarkEnd w:id="25"/>
    <w:bookmarkStart w:id="26" w:name="X24d85452bd41c453cddd6875293f2bb387d0d98"/>
    <w:p>
      <w:pPr>
        <w:pStyle w:val="Heading2"/>
      </w:pPr>
      <w:r>
        <w:t xml:space="preserve">6. Classroom Management and Student Engagement</w:t>
      </w:r>
    </w:p>
    <w:p>
      <w:pPr>
        <w:pStyle w:val="FirstParagraph"/>
      </w:pPr>
      <w:r>
        <w:t xml:space="preserve">The Teacher Secondary maintains a positive and productive classroom environment. Clear expectations and routines are established and consistently enforced, contributing to a safe and supportive learning space. The teacher builds strong relationships with students, demonstrating respect and empathy, which is particularly important in the secondary years.</w:t>
      </w:r>
    </w:p>
    <w:p>
      <w:pPr>
        <w:pStyle w:val="BodyText"/>
      </w:pPr>
      <w:r>
        <w:t xml:space="preserve">Strategies for managing behavior are proactive and restorative, aligning with best practices in Australian schools. The teacher is skilled at engaging students who may be disengaged or challenging, using a range of strategies to re-engage them in their learning. The classroom culture is one of mutual respect and high expectations.</w:t>
      </w:r>
    </w:p>
    <w:bookmarkEnd w:id="26"/>
    <w:bookmarkStart w:id="27" w:name="X213ec9f1120bc3a87e0feaa35abae48e334964b"/>
    <w:p>
      <w:pPr>
        <w:pStyle w:val="Heading2"/>
      </w:pPr>
      <w:r>
        <w:t xml:space="preserve">7. Professional Engagement and Collaboration</w:t>
      </w:r>
    </w:p>
    <w:p>
      <w:pPr>
        <w:pStyle w:val="FirstParagraph"/>
      </w:pPr>
      <w:r>
        <w:t xml:space="preserve">The Teacher Secondary actively participates in professional learning opportunities and contributes to the professional learning community within the school. Collaboration with colleagues is evident, with the teacher sharing resources and strategies to improve teaching and learning. The teacher is open to feedback and uses it to reflect on and improve their practice.</w:t>
      </w:r>
    </w:p>
    <w:p>
      <w:pPr>
        <w:pStyle w:val="BodyText"/>
      </w:pPr>
      <w:r>
        <w:t xml:space="preserve">Engagement with the broader educational community in Brisbane is also noted, with the teacher participating in local professional networks and conferences. This commitment to ongoing professional development ensures that the teacher remains current with best practices and emerging trends in secondary education in Australia.</w:t>
      </w:r>
    </w:p>
    <w:bookmarkEnd w:id="27"/>
    <w:bookmarkStart w:id="30" w:name="strengths-and-areas-for-growth"/>
    <w:p>
      <w:pPr>
        <w:pStyle w:val="Heading2"/>
      </w:pPr>
      <w:r>
        <w:t xml:space="preserve">8. Strengths and Areas for Growth</w:t>
      </w:r>
    </w:p>
    <w:bookmarkStart w:id="28" w:name="strengths"/>
    <w:p>
      <w:pPr>
        <w:pStyle w:val="Heading3"/>
      </w:pPr>
      <w:r>
        <w:t xml:space="preserve">Strengths:</w:t>
      </w:r>
    </w:p>
    <w:p>
      <w:pPr>
        <w:numPr>
          <w:ilvl w:val="0"/>
          <w:numId w:val="1001"/>
        </w:numPr>
        <w:pStyle w:val="Compact"/>
      </w:pPr>
      <w:r>
        <w:t xml:space="preserve">Strong alignment with QCAA curriculum and APST.</w:t>
      </w:r>
    </w:p>
    <w:p>
      <w:pPr>
        <w:numPr>
          <w:ilvl w:val="0"/>
          <w:numId w:val="1001"/>
        </w:numPr>
        <w:pStyle w:val="Compact"/>
      </w:pPr>
      <w:r>
        <w:t xml:space="preserve">Effective use of differentiated instruction and technology.</w:t>
      </w:r>
    </w:p>
    <w:p>
      <w:pPr>
        <w:numPr>
          <w:ilvl w:val="0"/>
          <w:numId w:val="1001"/>
        </w:numPr>
        <w:pStyle w:val="Compact"/>
      </w:pPr>
      <w:r>
        <w:t xml:space="preserve">Positive classroom management and student engagement.</w:t>
      </w:r>
    </w:p>
    <w:p>
      <w:pPr>
        <w:numPr>
          <w:ilvl w:val="0"/>
          <w:numId w:val="1001"/>
        </w:numPr>
        <w:pStyle w:val="Compact"/>
      </w:pPr>
      <w:r>
        <w:t xml:space="preserve">Constructive and timely feedback to students.</w:t>
      </w:r>
    </w:p>
    <w:p>
      <w:pPr>
        <w:numPr>
          <w:ilvl w:val="0"/>
          <w:numId w:val="1001"/>
        </w:numPr>
        <w:pStyle w:val="Compact"/>
      </w:pPr>
      <w:r>
        <w:t xml:space="preserve">Active participation in professional learning and collaboration.</w:t>
      </w:r>
    </w:p>
    <w:bookmarkEnd w:id="28"/>
    <w:bookmarkStart w:id="29" w:name="areas-for-growth"/>
    <w:p>
      <w:pPr>
        <w:pStyle w:val="Heading3"/>
      </w:pPr>
      <w:r>
        <w:t xml:space="preserve">Areas for Growth:</w:t>
      </w:r>
    </w:p>
    <w:p>
      <w:pPr>
        <w:numPr>
          <w:ilvl w:val="0"/>
          <w:numId w:val="1002"/>
        </w:numPr>
        <w:pStyle w:val="Compact"/>
      </w:pPr>
      <w:r>
        <w:t xml:space="preserve">Further development of data-driven decision-making to personalize learning.</w:t>
      </w:r>
    </w:p>
    <w:p>
      <w:pPr>
        <w:numPr>
          <w:ilvl w:val="0"/>
          <w:numId w:val="1002"/>
        </w:numPr>
        <w:pStyle w:val="Compact"/>
      </w:pPr>
      <w:r>
        <w:t xml:space="preserve">Increased integration of Indigenous perspectives across all units of work.</w:t>
      </w:r>
    </w:p>
    <w:p>
      <w:pPr>
        <w:numPr>
          <w:ilvl w:val="0"/>
          <w:numId w:val="1002"/>
        </w:numPr>
        <w:pStyle w:val="Compact"/>
      </w:pPr>
      <w:r>
        <w:t xml:space="preserve">Exploration of new assessment modalities to enhance student authenticity.</w:t>
      </w:r>
    </w:p>
    <w:bookmarkEnd w:id="29"/>
    <w:bookmarkEnd w:id="30"/>
    <w:bookmarkStart w:id="31" w:name="recommendations"/>
    <w:p>
      <w:pPr>
        <w:pStyle w:val="Heading2"/>
      </w:pPr>
      <w:r>
        <w:t xml:space="preserve">9. Recommendations</w:t>
      </w:r>
    </w:p>
    <w:p>
      <w:pPr>
        <w:pStyle w:val="FirstParagraph"/>
      </w:pPr>
      <w:r>
        <w:t xml:space="preserve">Based on the findings of this Peer Review Report, the following recommendations are made to support the ongoing professional growth of the Teacher Secondary:</w:t>
      </w:r>
    </w:p>
    <w:p>
      <w:pPr>
        <w:numPr>
          <w:ilvl w:val="0"/>
          <w:numId w:val="1003"/>
        </w:numPr>
        <w:pStyle w:val="Compact"/>
      </w:pPr>
      <w:r>
        <w:t xml:space="preserve">Engage in targeted professional learning focused on data analysis and personalized learning strategies.</w:t>
      </w:r>
    </w:p>
    <w:p>
      <w:pPr>
        <w:numPr>
          <w:ilvl w:val="0"/>
          <w:numId w:val="1003"/>
        </w:numPr>
        <w:pStyle w:val="Compact"/>
      </w:pPr>
      <w:r>
        <w:t xml:space="preserve">Collaborate with Indigenous education specialists to deepen the integration of Aboriginal and Torres Strait Islander perspectives.</w:t>
      </w:r>
    </w:p>
    <w:p>
      <w:pPr>
        <w:numPr>
          <w:ilvl w:val="0"/>
          <w:numId w:val="1003"/>
        </w:numPr>
        <w:pStyle w:val="Compact"/>
      </w:pPr>
      <w:r>
        <w:t xml:space="preserve">Experiment with alternative assessment methods, such as project-based assessments, to further engage secondary students.</w:t>
      </w:r>
    </w:p>
    <w:p>
      <w:pPr>
        <w:numPr>
          <w:ilvl w:val="0"/>
          <w:numId w:val="1003"/>
        </w:numPr>
        <w:pStyle w:val="Compact"/>
      </w:pPr>
      <w:r>
        <w:t xml:space="preserve">Continue to participate in professional networks in Brisbane to share and learn from peers.</w:t>
      </w:r>
    </w:p>
    <w:bookmarkEnd w:id="31"/>
    <w:bookmarkStart w:id="32" w:name="conclusion"/>
    <w:p>
      <w:pPr>
        <w:pStyle w:val="Heading2"/>
      </w:pPr>
      <w:r>
        <w:t xml:space="preserve">10. Conclusion</w:t>
      </w:r>
    </w:p>
    <w:p>
      <w:pPr>
        <w:pStyle w:val="FirstParagraph"/>
      </w:pPr>
      <w:r>
        <w:t xml:space="preserve">This Peer Review Report affirms that the Teacher Secondary is performing at a high level, demonstrating strong alignment with the Australian Professional Standards for Teachers and the specific needs of students in Brisbane. The teacher’s commitment to excellence, continuous improvement, and professional collaboration is evident. By addressing the identified areas for growth, the teacher will further enhance their practice and contribute positively to the educational outcomes of their students.</w:t>
      </w:r>
    </w:p>
    <w:bookmarkEnd w:id="32"/>
    <w:p>
      <w:pPr>
        <w:pStyle w:val="BodyText"/>
      </w:pPr>
      <w:r>
        <w:rPr>
          <w:bCs/>
          <w:b/>
        </w:rPr>
        <w:t xml:space="preserve">Peer 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rPr>
          <w:bCs/>
          <w:b/>
        </w:rPr>
        <w:t xml:space="preserve">Teacher Secondary 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Brisbane, Australia</dc:title>
  <dc:creator/>
  <dc:language>en</dc:language>
  <cp:keywords/>
  <dcterms:created xsi:type="dcterms:W3CDTF">2026-10-10T04:27:09Z</dcterms:created>
  <dcterms:modified xsi:type="dcterms:W3CDTF">2026-10-10T04:27:09Z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