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Professional Practice Review</w:t>
      </w:r>
    </w:p>
    <w:p>
      <w:pPr>
        <w:pStyle w:val="BodyText"/>
      </w:pPr>
      <w:r>
        <w:rPr>
          <w:bCs/>
          <w:b/>
        </w:rPr>
        <w:t xml:space="preserve">Location:</w:t>
      </w:r>
      <w:r>
        <w:t xml:space="preserve"> </w:t>
      </w:r>
      <w:r>
        <w:t xml:space="preserve">Melbourne, Victoria, Australia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Victorian Institute of Teaching (VIT) Professional Standards for Teachers and the specific pedagogical frameworks adopted by secondary schools in Melbourne, Australia. The purpose of this review is to evaluate the professional practice, classroom management, and curriculum delivery of a Teacher Secondary within a metropolitan Melbourne high school setting.</w:t>
      </w:r>
    </w:p>
    <w:p>
      <w:pPr>
        <w:pStyle w:val="BodyText"/>
      </w:pPr>
      <w:r>
        <w:t xml:space="preserve">The review process involved classroom observations, analysis of student work samples, consultation with colleagues, and a reflective dialogue with the teacher. The focus of this report is to provide constructive, evidence-based feedback that aligns with the expectations of the Australian education system, specifically addressing the unique challenges and opportunities present in Melbourne’s diverse secondary education landscape.</w:t>
      </w:r>
    </w:p>
    <w:bookmarkEnd w:id="21"/>
    <w:bookmarkStart w:id="22" w:name="teacher-profile-and-review-scope"/>
    <w:p>
      <w:pPr>
        <w:pStyle w:val="Heading2"/>
      </w:pPr>
      <w:r>
        <w:t xml:space="preserve">2. Teacher Profile and Review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[Teacher Name Redacted]</w:t>
            </w:r>
          </w:p>
        </w:tc>
      </w:tr>
      <w:tr>
        <w:tc>
          <w:tcPr/>
          <w:p>
            <w:pPr>
              <w:pStyle w:val="Compact"/>
              <w:jc w:val="left"/>
            </w:pPr>
            <w:r>
              <w:rPr>
                <w:bCs/>
                <w:b/>
              </w:rPr>
              <w:t xml:space="preserve">Role:</w:t>
            </w:r>
          </w:p>
        </w:tc>
        <w:tc>
          <w:tcPr/>
          <w:p>
            <w:pPr>
              <w:pStyle w:val="Compact"/>
              <w:jc w:val="left"/>
            </w:pPr>
            <w:r>
              <w:t xml:space="preserve">Teacher Secondary (Years 7-12)</w:t>
            </w:r>
          </w:p>
        </w:tc>
      </w:tr>
      <w:tr>
        <w:tc>
          <w:tcPr/>
          <w:p>
            <w:pPr>
              <w:pStyle w:val="Compact"/>
              <w:jc w:val="left"/>
            </w:pPr>
            <w:r>
              <w:rPr>
                <w:bCs/>
                <w:b/>
              </w:rPr>
              <w:t xml:space="preserve">Subject Area:</w:t>
            </w:r>
          </w:p>
        </w:tc>
        <w:tc>
          <w:tcPr/>
          <w:p>
            <w:pPr>
              <w:pStyle w:val="Compact"/>
              <w:jc w:val="left"/>
            </w:pPr>
            <w:r>
              <w:t xml:space="preserve">Humanities and Social Sciences</w:t>
            </w:r>
          </w:p>
        </w:tc>
      </w:tr>
      <w:tr>
        <w:tc>
          <w:tcPr/>
          <w:p>
            <w:pPr>
              <w:pStyle w:val="Compact"/>
              <w:jc w:val="left"/>
            </w:pPr>
            <w:r>
              <w:rPr>
                <w:bCs/>
                <w:b/>
              </w:rPr>
              <w:t xml:space="preserve">School Location:</w:t>
            </w:r>
          </w:p>
        </w:tc>
        <w:tc>
          <w:tcPr/>
          <w:p>
            <w:pPr>
              <w:pStyle w:val="Compact"/>
              <w:jc w:val="left"/>
            </w:pPr>
            <w:r>
              <w:t xml:space="preserve">Melbourne, Victoria, Australia</w:t>
            </w:r>
          </w:p>
        </w:tc>
      </w:tr>
      <w:tr>
        <w:tc>
          <w:tcPr/>
          <w:p>
            <w:pPr>
              <w:pStyle w:val="Compact"/>
              <w:jc w:val="left"/>
            </w:pPr>
            <w:r>
              <w:rPr>
                <w:bCs/>
                <w:b/>
              </w:rPr>
              <w:t xml:space="preserve">Reviewer:</w:t>
            </w:r>
          </w:p>
        </w:tc>
        <w:tc>
          <w:tcPr/>
          <w:p>
            <w:pPr>
              <w:pStyle w:val="Compact"/>
              <w:jc w:val="left"/>
            </w:pPr>
            <w:r>
              <w:t xml:space="preserve">[Peer Reviewer Name]</w:t>
            </w:r>
          </w:p>
        </w:tc>
      </w:tr>
      <w:tr>
        <w:tc>
          <w:tcPr/>
          <w:p>
            <w:pPr>
              <w:pStyle w:val="Compact"/>
              <w:jc w:val="left"/>
            </w:pPr>
            <w:r>
              <w:rPr>
                <w:bCs/>
                <w:b/>
              </w:rPr>
              <w:t xml:space="preserve">Review Period:</w:t>
            </w:r>
          </w:p>
        </w:tc>
        <w:tc>
          <w:tcPr/>
          <w:p>
            <w:pPr>
              <w:pStyle w:val="Compact"/>
              <w:jc w:val="left"/>
            </w:pPr>
            <w:r>
              <w:t xml:space="preserve">Term 3, 2023</w:t>
            </w:r>
          </w:p>
        </w:tc>
      </w:tr>
    </w:tbl>
    <w:bookmarkEnd w:id="22"/>
    <w:bookmarkStart w:id="27" w:name="X3a5f9b99936b002d9996c0d4b77b6e3b3463fee"/>
    <w:p>
      <w:pPr>
        <w:pStyle w:val="Heading2"/>
      </w:pPr>
      <w:r>
        <w:t xml:space="preserve">3. Alignment with Victorian Professional Standards</w:t>
      </w:r>
    </w:p>
    <w:p>
      <w:pPr>
        <w:pStyle w:val="FirstParagraph"/>
      </w:pPr>
      <w:r>
        <w:t xml:space="preserve">The evaluation of the Teacher Secondary was conducted against the VIT Professional Standards for Teachers. The following areas were assessed with particular attention to the Melbourne context, which emphasizes inclusivity, cultural responsiveness, and high academic rigour.</w:t>
      </w:r>
    </w:p>
    <w:bookmarkStart w:id="23" w:name="knowledge-and-understanding-of-students"/>
    <w:p>
      <w:pPr>
        <w:pStyle w:val="Heading3"/>
      </w:pPr>
      <w:r>
        <w:t xml:space="preserve">3.1 Knowledge and Understanding of Students</w:t>
      </w:r>
    </w:p>
    <w:p>
      <w:pPr>
        <w:pStyle w:val="FirstParagraph"/>
      </w:pPr>
      <w:r>
        <w:t xml:space="preserve">The teacher demonstrates a strong understanding of the developmental needs of secondary students in Melbourne. The classroom environment reflects an awareness of the multicultural demographic typical of Victorian schools. Strategies were observed that cater to students with diverse linguistic backgrounds, ensuring that English as an Additional Language (EAL) learners are supported without compromising the depth of the curriculum. The teacher effectively utilizes differentiated instruction to address varying ability levels, a critical component of successful secondary teaching in Australia.</w:t>
      </w:r>
    </w:p>
    <w:bookmarkEnd w:id="23"/>
    <w:bookmarkStart w:id="24" w:name="X147072c65d06619dff48f12d02aafc31b24d5b1"/>
    <w:p>
      <w:pPr>
        <w:pStyle w:val="Heading3"/>
      </w:pPr>
      <w:r>
        <w:t xml:space="preserve">3.2 Planning for and Implementing Effective Teaching and Learning</w:t>
      </w:r>
    </w:p>
    <w:p>
      <w:pPr>
        <w:pStyle w:val="FirstParagraph"/>
      </w:pPr>
      <w:r>
        <w:t xml:space="preserve">Lesson planning is meticulous and aligns closely with the Victorian Curriculum F-10 and the Victorian Certificate of Education (VCE) requirements where applicable. The Teacher Secondary employs a variety of pedagogical approaches, including inquiry-based learning and collaborative group work, which are highly valued in modern Melbourne secondary schools. Resources are current, relevant, and often incorporate local Melbourne case studies to make learning authentic and engaging for students. The integration of digital technologies is seamless, enhancing student engagement and facilitating deeper understanding of complex concepts.</w:t>
      </w:r>
    </w:p>
    <w:bookmarkEnd w:id="24"/>
    <w:bookmarkStart w:id="25" w:name="X3269d690a3d1f064966b9dacb78fb637ec78fa1"/>
    <w:p>
      <w:pPr>
        <w:pStyle w:val="Heading3"/>
      </w:pPr>
      <w:r>
        <w:t xml:space="preserve">3.3 Creating and Maintaining Supportive and Safe Learning Environments</w:t>
      </w:r>
    </w:p>
    <w:p>
      <w:pPr>
        <w:pStyle w:val="FirstParagraph"/>
      </w:pPr>
      <w:r>
        <w:t xml:space="preserve">Classroom management is a significant strength. The teacher has established clear expectations and routines that promote a respectful and inclusive atmosphere. This is particularly important in the Melbourne context, where schools strive to uphold values of equity and social justice. The teacher actively fosters positive relationships with students, creating a safe space where students feel comfortable expressing their ideas and asking questions. Behaviour management strategies are proactive and restorative, aligning with best practices recommended by the Department of Education Victoria.</w:t>
      </w:r>
    </w:p>
    <w:bookmarkEnd w:id="25"/>
    <w:bookmarkStart w:id="26" w:name="X8eec9cacd035fb5faaba3942e647f6f34368b30"/>
    <w:p>
      <w:pPr>
        <w:pStyle w:val="Heading3"/>
      </w:pPr>
      <w:r>
        <w:t xml:space="preserve">3.4 Assessing, Providing Feedback, and Reporting on Student Learning</w:t>
      </w:r>
    </w:p>
    <w:p>
      <w:pPr>
        <w:pStyle w:val="FirstParagraph"/>
      </w:pPr>
      <w:r>
        <w:t xml:space="preserve">Assessment practices are robust and transparent. The Teacher Secondary uses a balanced approach to assessment, incorporating formative and summative tasks that provide comprehensive insights into student learning. Feedback is timely, specific, and actionable, helping students to understand their progress and areas for improvement. The teacher is diligent in maintaining accurate records and communicating effectively with parents and guardians, which is essential for building strong school-community partnerships in Melbourne.</w:t>
      </w:r>
    </w:p>
    <w:bookmarkEnd w:id="26"/>
    <w:bookmarkEnd w:id="27"/>
    <w:bookmarkStart w:id="28" w:name="strengths-identified"/>
    <w:p>
      <w:pPr>
        <w:pStyle w:val="Heading2"/>
      </w:pPr>
      <w:r>
        <w:t xml:space="preserve">4. Strengths Identified</w:t>
      </w:r>
    </w:p>
    <w:p>
      <w:pPr>
        <w:numPr>
          <w:ilvl w:val="0"/>
          <w:numId w:val="1001"/>
        </w:numPr>
        <w:pStyle w:val="Compact"/>
      </w:pPr>
      <w:r>
        <w:rPr>
          <w:bCs/>
          <w:b/>
        </w:rPr>
        <w:t xml:space="preserve">Cultural Responsiveness:</w:t>
      </w:r>
      <w:r>
        <w:t xml:space="preserve"> </w:t>
      </w:r>
      <w:r>
        <w:t xml:space="preserve">Excellent integration of diverse perspectives and materials that reflect the multicultural nature of Melbourne.</w:t>
      </w:r>
    </w:p>
    <w:p>
      <w:pPr>
        <w:numPr>
          <w:ilvl w:val="0"/>
          <w:numId w:val="1001"/>
        </w:numPr>
        <w:pStyle w:val="Compact"/>
      </w:pPr>
      <w:r>
        <w:rPr>
          <w:bCs/>
          <w:b/>
        </w:rPr>
        <w:t xml:space="preserve">Curriculum Expertise:</w:t>
      </w:r>
      <w:r>
        <w:t xml:space="preserve"> </w:t>
      </w:r>
      <w:r>
        <w:t xml:space="preserve">Deep knowledge of the Victorian Curriculum and VCE requirements, ensuring students are well-prepared for assessments.</w:t>
      </w:r>
    </w:p>
    <w:p>
      <w:pPr>
        <w:numPr>
          <w:ilvl w:val="0"/>
          <w:numId w:val="1001"/>
        </w:numPr>
        <w:pStyle w:val="Compact"/>
      </w:pPr>
      <w:r>
        <w:rPr>
          <w:bCs/>
          <w:b/>
        </w:rPr>
        <w:t xml:space="preserve">Student Engagement:</w:t>
      </w:r>
      <w:r>
        <w:t xml:space="preserve"> </w:t>
      </w:r>
      <w:r>
        <w:t xml:space="preserve">High levels of student participation and enthusiasm, driven by engaging and relevant lesson content.</w:t>
      </w:r>
    </w:p>
    <w:p>
      <w:pPr>
        <w:numPr>
          <w:ilvl w:val="0"/>
          <w:numId w:val="1001"/>
        </w:numPr>
        <w:pStyle w:val="Compact"/>
      </w:pPr>
      <w:r>
        <w:rPr>
          <w:bCs/>
          <w:b/>
        </w:rPr>
        <w:t xml:space="preserve">Professional Collaboration:</w:t>
      </w:r>
      <w:r>
        <w:t xml:space="preserve"> </w:t>
      </w:r>
      <w:r>
        <w:t xml:space="preserve">Active participation in professional learning communities and willingness to share best practices with colleagues.</w:t>
      </w:r>
    </w:p>
    <w:bookmarkEnd w:id="28"/>
    <w:bookmarkStart w:id="29" w:name="areas-for-development"/>
    <w:p>
      <w:pPr>
        <w:pStyle w:val="Heading2"/>
      </w:pPr>
      <w:r>
        <w:t xml:space="preserve">5. Areas for Development</w:t>
      </w:r>
    </w:p>
    <w:p>
      <w:pPr>
        <w:numPr>
          <w:ilvl w:val="0"/>
          <w:numId w:val="1002"/>
        </w:numPr>
        <w:pStyle w:val="Compact"/>
      </w:pPr>
      <w:r>
        <w:rPr>
          <w:bCs/>
          <w:b/>
        </w:rPr>
        <w:t xml:space="preserve">Extended Inquiry Projects:</w:t>
      </w:r>
      <w:r>
        <w:t xml:space="preserve"> </w:t>
      </w:r>
      <w:r>
        <w:t xml:space="preserve">While inquiry-based learning is used, there is an opportunity to extend these projects to foster greater student autonomy and critical thinking skills, particularly for senior secondary students.</w:t>
      </w:r>
    </w:p>
    <w:p>
      <w:pPr>
        <w:numPr>
          <w:ilvl w:val="0"/>
          <w:numId w:val="1002"/>
        </w:numPr>
        <w:pStyle w:val="Compact"/>
      </w:pPr>
      <w:r>
        <w:rPr>
          <w:bCs/>
          <w:b/>
        </w:rPr>
        <w:t xml:space="preserve">Data-Driven Instruction:</w:t>
      </w:r>
      <w:r>
        <w:t xml:space="preserve"> </w:t>
      </w:r>
      <w:r>
        <w:t xml:space="preserve">Further utilization of assessment data to inform instructional decisions and tailor interventions for struggling students could enhance overall student outcomes.</w:t>
      </w:r>
    </w:p>
    <w:p>
      <w:pPr>
        <w:numPr>
          <w:ilvl w:val="0"/>
          <w:numId w:val="1002"/>
        </w:numPr>
        <w:pStyle w:val="Compact"/>
      </w:pPr>
      <w:r>
        <w:rPr>
          <w:bCs/>
          <w:b/>
        </w:rPr>
        <w:t xml:space="preserve">Parental Engagement:</w:t>
      </w:r>
      <w:r>
        <w:t xml:space="preserve"> </w:t>
      </w:r>
      <w:r>
        <w:t xml:space="preserve">Exploring innovative ways to engage parents in the learning process, such as through digital platforms or community events, could strengthen home-school connections.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growth of the Teacher Secondary:</w:t>
      </w:r>
    </w:p>
    <w:p>
      <w:pPr>
        <w:numPr>
          <w:ilvl w:val="0"/>
          <w:numId w:val="1003"/>
        </w:numPr>
        <w:pStyle w:val="Compact"/>
      </w:pPr>
      <w:r>
        <w:t xml:space="preserve">Engage in professional development focused on advanced inquiry-based learning strategies and project-based learning design.</w:t>
      </w:r>
    </w:p>
    <w:p>
      <w:pPr>
        <w:numPr>
          <w:ilvl w:val="0"/>
          <w:numId w:val="1003"/>
        </w:numPr>
        <w:pStyle w:val="Compact"/>
      </w:pPr>
      <w:r>
        <w:t xml:space="preserve">Participate in workshops or training sessions on data literacy and using assessment data to drive instructional improvements.</w:t>
      </w:r>
    </w:p>
    <w:p>
      <w:pPr>
        <w:numPr>
          <w:ilvl w:val="0"/>
          <w:numId w:val="1003"/>
        </w:numPr>
        <w:pStyle w:val="Compact"/>
      </w:pPr>
      <w:r>
        <w:t xml:space="preserve">Collaborate with colleagues to develop and implement new initiatives for parental engagement, leveraging digital tools and community resources.</w:t>
      </w:r>
    </w:p>
    <w:p>
      <w:pPr>
        <w:numPr>
          <w:ilvl w:val="0"/>
          <w:numId w:val="1003"/>
        </w:numPr>
        <w:pStyle w:val="Compact"/>
      </w:pPr>
      <w:r>
        <w:t xml:space="preserve">Continue to reflect on and refine teaching practices, seeking feedback from students and peers to ensure ongoing improvement.</w:t>
      </w:r>
    </w:p>
    <w:bookmarkEnd w:id="30"/>
    <w:bookmarkStart w:id="31" w:name="conclusion"/>
    <w:p>
      <w:pPr>
        <w:pStyle w:val="Heading2"/>
      </w:pPr>
      <w:r>
        <w:t xml:space="preserve">7. Conclusion</w:t>
      </w:r>
    </w:p>
    <w:p>
      <w:pPr>
        <w:pStyle w:val="FirstParagraph"/>
      </w:pPr>
      <w:r>
        <w:t xml:space="preserve">This Peer Review Report confirms that the Teacher Secondary is performing at a high level of professional practice, consistent with the expectations of the Victorian Institute of Teaching and the broader educational community in Melbourne, Australia. The teacher’s commitment to student learning, cultural responsiveness, and professional collaboration is evident and commendable. By addressing the identified areas for development, the teacher will further enhance their effectiveness and contribute positively to the educational outcomes of their students.</w:t>
      </w:r>
    </w:p>
    <w:p>
      <w:pPr>
        <w:pStyle w:val="BodyText"/>
      </w:pPr>
      <w:r>
        <w:t xml:space="preserve">It is recommended that this report be used as a basis for ongoing professional dialogue and development planning. The teacher is encouraged to view this review as an opportunity for growth and to continue their dedication to excellence in secondary education.</w:t>
      </w:r>
    </w:p>
    <w:bookmarkEnd w:id="31"/>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Teacher Acknowledgement: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Melbourne, Australia</dc:title>
  <dc:creator/>
  <dc:language>en</dc:language>
  <cp:keywords/>
  <dcterms:created xsi:type="dcterms:W3CDTF">2026-10-10T05:09:13Z</dcterms:created>
  <dcterms:modified xsi:type="dcterms:W3CDTF">2026-10-10T05:09:13Z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