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Secondary Performance Evaluation</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practice of a Teacher Secondary within a high-performing educational institution located in Australia Sydney. The purpose of this review is to evaluate teaching efficacy, curriculum alignment, and student engagement strategies in accordance with the Australian Professional Standards for Teachers (APST). This document aims to provide constructive feedback that supports continuous professional development and ensures the highest quality of education for secondary students in the Sydney metropolitan area.</w:t>
      </w:r>
    </w:p>
    <w:bookmarkEnd w:id="21"/>
    <w:bookmarkStart w:id="22" w:name="context-of-the-review"/>
    <w:p>
      <w:pPr>
        <w:pStyle w:val="Heading2"/>
      </w:pPr>
      <w:r>
        <w:t xml:space="preserve">2. Context of the Review</w:t>
      </w:r>
    </w:p>
    <w:p>
      <w:pPr>
        <w:pStyle w:val="FirstParagraph"/>
      </w:pPr>
      <w:r>
        <w:t xml:space="preserve">The review was conducted over a period of four weeks, involving classroom observations, analysis of lesson plans, and consultation with students and colleagues. The Teacher Secondary is responsible for delivering the New South Wales (NSW) Stage 5 curriculum to Year 9 and Year 10 students. The classroom environment reflects the diverse demographic typical of schools in Australia Sydney, requiring culturally responsive teaching practices and differentiated instruction to meet the needs of students from varied linguistic and socioeconomic backgrounds.</w:t>
      </w:r>
    </w:p>
    <w:bookmarkEnd w:id="22"/>
    <w:bookmarkStart w:id="26" w:name="evaluation-of-teaching-practice"/>
    <w:p>
      <w:pPr>
        <w:pStyle w:val="Heading2"/>
      </w:pPr>
      <w:r>
        <w:t xml:space="preserve">3. Evaluation of Teaching Practice</w:t>
      </w:r>
    </w:p>
    <w:bookmarkStart w:id="23" w:name="curriculum-knowledge-and-planning"/>
    <w:p>
      <w:pPr>
        <w:pStyle w:val="Heading3"/>
      </w:pPr>
      <w:r>
        <w:t xml:space="preserve">3.1 Curriculum Knowledge and Planning</w:t>
      </w:r>
    </w:p>
    <w:p>
      <w:pPr>
        <w:pStyle w:val="FirstParagraph"/>
      </w:pPr>
      <w:r>
        <w:t xml:space="preserve">The Teacher Secondary demonstrates a profound understanding of the NSW Education Standards Authority (NESA) syllabus. Lesson plans are meticulously structured, aligning learning outcomes with assessment tasks. The integration of cross-curriculum priorities, such as Aboriginal and Torres Strait Islander histories and cultures, is evident and handled with sensitivity and accuracy. This approach ensures that students in Australia Sydney are not only academically prepared but also culturally aware.</w:t>
      </w:r>
    </w:p>
    <w:bookmarkEnd w:id="23"/>
    <w:bookmarkStart w:id="24" w:name="classroom-management-and-environment"/>
    <w:p>
      <w:pPr>
        <w:pStyle w:val="Heading3"/>
      </w:pPr>
      <w:r>
        <w:t xml:space="preserve">3.2 Classroom Management and Environment</w:t>
      </w:r>
    </w:p>
    <w:p>
      <w:pPr>
        <w:pStyle w:val="FirstParagraph"/>
      </w:pPr>
      <w:r>
        <w:t xml:space="preserve">Classroom management strategies are robust and consistent. The Teacher Secondary establishes clear expectations and routines, fostering a safe and inclusive learning environment. Observations indicate that the teacher effectively manages behavior through positive reinforcement and restorative practices, which are increasingly valued in modern Australian schools. The physical layout of the classroom encourages collaboration, reflecting contemporary pedagogical trends in secondary education.</w:t>
      </w:r>
    </w:p>
    <w:bookmarkEnd w:id="24"/>
    <w:bookmarkStart w:id="25" w:name="instructional-strategies-and-engagement"/>
    <w:p>
      <w:pPr>
        <w:pStyle w:val="Heading3"/>
      </w:pPr>
      <w:r>
        <w:t xml:space="preserve">3.3 Instructional Strategies and Engagement</w:t>
      </w:r>
    </w:p>
    <w:p>
      <w:pPr>
        <w:pStyle w:val="FirstParagraph"/>
      </w:pPr>
      <w:r>
        <w:t xml:space="preserve">A variety of instructional strategies are employed to cater to diverse learning styles. The Teacher Secondary utilizes inquiry-based learning, group work, and technology integration to enhance student engagement. Notably, the use of digital tools aligns with the NSW Digital Education Strategy, preparing students for the technological demands of the future. Students are actively involved in their learning, demonstrating high levels of participation and critical thinking.</w:t>
      </w:r>
    </w:p>
    <w:bookmarkEnd w:id="25"/>
    <w:bookmarkEnd w:id="26"/>
    <w:bookmarkStart w:id="27" w:name="assessment-and-feedback"/>
    <w:p>
      <w:pPr>
        <w:pStyle w:val="Heading2"/>
      </w:pPr>
      <w:r>
        <w:t xml:space="preserve">4. Assessment and Feedback</w:t>
      </w:r>
    </w:p>
    <w:p>
      <w:pPr>
        <w:pStyle w:val="FirstParagraph"/>
      </w:pPr>
      <w:r>
        <w:t xml:space="preserve">Assessment practices are rigorous and aligned with NESA guidelines. The Teacher Secondary employs a balanced approach to formative and summative assessment, providing timely and actionable feedback to students. Feedback is specific, focusing on both strengths and areas for improvement, which supports student growth and self-regulation. The teacher also uses assessment data to inform instructional decisions, ensuring that teaching is responsive to student needs.</w:t>
      </w:r>
    </w:p>
    <w:bookmarkEnd w:id="27"/>
    <w:bookmarkStart w:id="28" w:name="X213ec9f1120bc3a87e0feaa35abae48e334964b"/>
    <w:p>
      <w:pPr>
        <w:pStyle w:val="Heading2"/>
      </w:pPr>
      <w:r>
        <w:t xml:space="preserve">5. Professional Engagement and Collaboration</w:t>
      </w:r>
    </w:p>
    <w:p>
      <w:pPr>
        <w:pStyle w:val="FirstParagraph"/>
      </w:pPr>
      <w:r>
        <w:t xml:space="preserve">The Teacher Secondary actively participates in professional learning communities and collaborates with colleagues to share best practices. This commitment to professional growth is evident in the teacher’s willingness to adopt new pedagogical approaches and contribute to school-wide initiatives. The teacher also engages with parents and the wider community, fostering strong partnerships that support student success. This collaborative spirit is essential in the dynamic educational landscape of Australia Sydney.</w:t>
      </w:r>
    </w:p>
    <w:bookmarkEnd w:id="28"/>
    <w:bookmarkStart w:id="29" w:name="strengths"/>
    <w:p>
      <w:pPr>
        <w:pStyle w:val="Heading2"/>
      </w:pPr>
      <w:r>
        <w:t xml:space="preserve">6. Strengths</w:t>
      </w:r>
    </w:p>
    <w:p>
      <w:pPr>
        <w:numPr>
          <w:ilvl w:val="0"/>
          <w:numId w:val="1001"/>
        </w:numPr>
        <w:pStyle w:val="Compact"/>
      </w:pPr>
      <w:r>
        <w:t xml:space="preserve">Deep knowledge of the NSW curriculum and ability to translate it into engaging lessons.</w:t>
      </w:r>
    </w:p>
    <w:p>
      <w:pPr>
        <w:numPr>
          <w:ilvl w:val="0"/>
          <w:numId w:val="1001"/>
        </w:numPr>
        <w:pStyle w:val="Compact"/>
      </w:pPr>
      <w:r>
        <w:t xml:space="preserve">Effective classroom management that promotes a positive and inclusive learning environment.</w:t>
      </w:r>
    </w:p>
    <w:p>
      <w:pPr>
        <w:numPr>
          <w:ilvl w:val="0"/>
          <w:numId w:val="1001"/>
        </w:numPr>
        <w:pStyle w:val="Compact"/>
      </w:pPr>
      <w:r>
        <w:t xml:space="preserve">Use of diverse instructional strategies that cater to different learning needs.</w:t>
      </w:r>
    </w:p>
    <w:p>
      <w:pPr>
        <w:numPr>
          <w:ilvl w:val="0"/>
          <w:numId w:val="1001"/>
        </w:numPr>
        <w:pStyle w:val="Compact"/>
      </w:pPr>
      <w:r>
        <w:t xml:space="preserve">Commitment to professional development and collaboration with colleagues.</w:t>
      </w:r>
    </w:p>
    <w:p>
      <w:pPr>
        <w:numPr>
          <w:ilvl w:val="0"/>
          <w:numId w:val="1001"/>
        </w:numPr>
        <w:pStyle w:val="Compact"/>
      </w:pPr>
      <w:r>
        <w:t xml:space="preserve">Strong relationships with students, parents, and the community.</w:t>
      </w:r>
    </w:p>
    <w:bookmarkEnd w:id="29"/>
    <w:bookmarkStart w:id="30" w:name="areas-for-improvement"/>
    <w:p>
      <w:pPr>
        <w:pStyle w:val="Heading2"/>
      </w:pPr>
      <w:r>
        <w:t xml:space="preserve">7. Areas for Improvement</w:t>
      </w:r>
    </w:p>
    <w:p>
      <w:pPr>
        <w:numPr>
          <w:ilvl w:val="0"/>
          <w:numId w:val="1002"/>
        </w:numPr>
        <w:pStyle w:val="Compact"/>
      </w:pPr>
      <w:r>
        <w:t xml:space="preserve">Further integration of differentiated instruction to support high-achieving students.</w:t>
      </w:r>
    </w:p>
    <w:p>
      <w:pPr>
        <w:numPr>
          <w:ilvl w:val="0"/>
          <w:numId w:val="1002"/>
        </w:numPr>
        <w:pStyle w:val="Compact"/>
      </w:pPr>
      <w:r>
        <w:t xml:space="preserve">Enhanced use of data analytics to track student progress over time.</w:t>
      </w:r>
    </w:p>
    <w:p>
      <w:pPr>
        <w:numPr>
          <w:ilvl w:val="0"/>
          <w:numId w:val="1002"/>
        </w:numPr>
        <w:pStyle w:val="Compact"/>
      </w:pPr>
      <w:r>
        <w:t xml:space="preserve">Increased opportunities for student-led learning and autonomy.</w:t>
      </w:r>
    </w:p>
    <w:bookmarkEnd w:id="30"/>
    <w:bookmarkStart w:id="31" w:name="recommendations"/>
    <w:p>
      <w:pPr>
        <w:pStyle w:val="Heading2"/>
      </w:pPr>
      <w:r>
        <w:t xml:space="preserve">8. Recommendations</w:t>
      </w:r>
    </w:p>
    <w:p>
      <w:pPr>
        <w:pStyle w:val="FirstParagraph"/>
      </w:pPr>
      <w:r>
        <w:t xml:space="preserve">To address the areas for improvement, the following recommendations are made:</w:t>
      </w:r>
    </w:p>
    <w:p>
      <w:pPr>
        <w:numPr>
          <w:ilvl w:val="0"/>
          <w:numId w:val="1003"/>
        </w:numPr>
        <w:pStyle w:val="Compact"/>
      </w:pPr>
      <w:r>
        <w:t xml:space="preserve">Engage in professional learning focused on differentiated instruction and extension activities.</w:t>
      </w:r>
    </w:p>
    <w:p>
      <w:pPr>
        <w:numPr>
          <w:ilvl w:val="0"/>
          <w:numId w:val="1003"/>
        </w:numPr>
        <w:pStyle w:val="Compact"/>
      </w:pPr>
      <w:r>
        <w:t xml:space="preserve">Utilize school-based data systems to monitor student progress and adjust teaching strategies accordingly.</w:t>
      </w:r>
    </w:p>
    <w:p>
      <w:pPr>
        <w:numPr>
          <w:ilvl w:val="0"/>
          <w:numId w:val="1003"/>
        </w:numPr>
        <w:pStyle w:val="Compact"/>
      </w:pPr>
      <w:r>
        <w:t xml:space="preserve">Incorporate more student choice and voice in learning activities to foster autonomy and ownership.</w:t>
      </w:r>
    </w:p>
    <w:bookmarkEnd w:id="31"/>
    <w:bookmarkStart w:id="32" w:name="conclusion"/>
    <w:p>
      <w:pPr>
        <w:pStyle w:val="Heading2"/>
      </w:pPr>
      <w:r>
        <w:t xml:space="preserve">9. Conclusion</w:t>
      </w:r>
    </w:p>
    <w:p>
      <w:pPr>
        <w:pStyle w:val="FirstParagraph"/>
      </w:pPr>
      <w:r>
        <w:t xml:space="preserve">This Peer Review Report highlights the significant strengths of the Teacher Secondary in delivering high-quality education within the context of Australia Sydney. The teacher’s dedication to professional excellence, combined with a student-centered approach, contributes positively to the educational outcomes of secondary students. By addressing the identified areas for improvement, the teacher can further enhance their practice and continue to make a meaningful impact on student learning.</w:t>
      </w:r>
    </w:p>
    <w:bookmarkEnd w:id="32"/>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Senior Teacher / Department Head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Australia Sydney</dc:title>
  <dc:creator/>
  <dc:language>en</dc:language>
  <cp:keywords/>
  <dcterms:created xsi:type="dcterms:W3CDTF">2026-10-10T04:47:06Z</dcterms:created>
  <dcterms:modified xsi:type="dcterms:W3CDTF">2026-10-10T04:47:06Z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