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Canada</w:t>
      </w:r>
      <w:r>
        <w:t xml:space="preserve"> </w:t>
      </w:r>
      <w:r>
        <w:t xml:space="preserve">Montreal</w:t>
      </w:r>
    </w:p>
    <w:bookmarkStart w:id="20" w:name="peer-review-report-teacher-secondary"/>
    <w:p>
      <w:pPr>
        <w:pStyle w:val="Heading1"/>
      </w:pPr>
      <w:r>
        <w:t xml:space="preserve">Peer Review Report: Teacher Secondary</w:t>
      </w:r>
    </w:p>
    <w:p>
      <w:pPr>
        <w:pStyle w:val="FirstParagraph"/>
      </w:pPr>
      <w:r>
        <w:rPr>
          <w:bCs/>
          <w:b/>
        </w:rPr>
        <w:t xml:space="preserve">Context:</w:t>
      </w:r>
      <w:r>
        <w:t xml:space="preserve"> </w:t>
      </w:r>
      <w:r>
        <w:t xml:space="preserve">Professional Evaluation within the Educational Framework of Canada Montreal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document serves as a formal Peer Review Report regarding the professional practice of a Teacher Secondary assigned to a secondary school institution within the jurisdiction of Canada Montreal. The purpose of this review is to evaluate pedagogical effectiveness, classroom management, curriculum alignment, and professional collaboration in accordance with the standards set by the Quebec Ministry of Education and the Syndicat des enseignants du Québec (SEQ).</w:t>
      </w:r>
    </w:p>
    <w:p>
      <w:pPr>
        <w:pStyle w:val="BodyText"/>
      </w:pPr>
      <w:r>
        <w:t xml:space="preserve">The review process was conducted over a period of four weeks, involving classroom observations, analysis of student work, and structured interviews. The focus remains on fostering professional growth and ensuring that the educational experience provided to adolescents in the Montreal region meets the high expectations of the local community and the broader Canadian educational system.</w:t>
      </w:r>
    </w:p>
    <w:bookmarkEnd w:id="21"/>
    <w:bookmarkStart w:id="22" w:name="teacher-profile-and-assignment-details"/>
    <w:p>
      <w:pPr>
        <w:pStyle w:val="Heading2"/>
      </w:pPr>
      <w:r>
        <w:t xml:space="preserve">2. Teacher Profile and Assignment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[Confidential / Redacted]</w:t>
            </w:r>
          </w:p>
        </w:tc>
      </w:tr>
      <w:tr>
        <w:tc>
          <w:tcPr/>
          <w:p>
            <w:pPr>
              <w:pStyle w:val="Compact"/>
              <w:jc w:val="left"/>
            </w:pPr>
            <w:r>
              <w:t xml:space="preserve">Role</w:t>
            </w:r>
          </w:p>
        </w:tc>
        <w:tc>
          <w:tcPr/>
          <w:p>
            <w:pPr>
              <w:pStyle w:val="Compact"/>
              <w:jc w:val="left"/>
            </w:pPr>
            <w:r>
              <w:t xml:space="preserve">Teacher Secondary (Grade 10-11)</w:t>
            </w:r>
          </w:p>
        </w:tc>
      </w:tr>
      <w:tr>
        <w:tc>
          <w:tcPr/>
          <w:p>
            <w:pPr>
              <w:pStyle w:val="Compact"/>
              <w:jc w:val="left"/>
            </w:pPr>
            <w:r>
              <w:t xml:space="preserve">Subject Area</w:t>
            </w:r>
          </w:p>
        </w:tc>
        <w:tc>
          <w:tcPr/>
          <w:p>
            <w:pPr>
              <w:pStyle w:val="Compact"/>
              <w:jc w:val="left"/>
            </w:pPr>
            <w:r>
              <w:t xml:space="preserve">Humanities and Social Sciences</w:t>
            </w:r>
          </w:p>
        </w:tc>
      </w:tr>
      <w:tr>
        <w:tc>
          <w:tcPr/>
          <w:p>
            <w:pPr>
              <w:pStyle w:val="Compact"/>
              <w:jc w:val="left"/>
            </w:pPr>
            <w:r>
              <w:t xml:space="preserve">School Location</w:t>
            </w:r>
          </w:p>
        </w:tc>
        <w:tc>
          <w:tcPr/>
          <w:p>
            <w:pPr>
              <w:pStyle w:val="Compact"/>
              <w:jc w:val="left"/>
            </w:pPr>
            <w:r>
              <w:t xml:space="preserve">Montreal, Quebec, Canada</w:t>
            </w:r>
          </w:p>
        </w:tc>
      </w:tr>
      <w:tr>
        <w:tc>
          <w:tcPr/>
          <w:p>
            <w:pPr>
              <w:pStyle w:val="Compact"/>
              <w:jc w:val="left"/>
            </w:pPr>
            <w:r>
              <w:t xml:space="preserve">Reviewer</w:t>
            </w:r>
          </w:p>
        </w:tc>
        <w:tc>
          <w:tcPr/>
          <w:p>
            <w:pPr>
              <w:pStyle w:val="Compact"/>
              <w:jc w:val="left"/>
            </w:pPr>
            <w:r>
              <w:t xml:space="preserve">Senior Peer Colleague</w:t>
            </w:r>
          </w:p>
        </w:tc>
      </w:tr>
    </w:tbl>
    <w:bookmarkEnd w:id="22"/>
    <w:bookmarkStart w:id="23" w:name="Xf64e115617550cbde5e7a6f4c61e3db2b9368dc"/>
    <w:p>
      <w:pPr>
        <w:pStyle w:val="Heading2"/>
      </w:pPr>
      <w:r>
        <w:t xml:space="preserve">3. Pedagogical Practice and Instructional Strategies</w:t>
      </w:r>
    </w:p>
    <w:p>
      <w:pPr>
        <w:pStyle w:val="FirstParagraph"/>
      </w:pPr>
      <w:r>
        <w:t xml:space="preserve">The Teacher Secondary demonstrated a strong command of subject matter knowledge, delivering content that was both accurate and engaging. In the context of Canada Montreal, where students often navigate a bilingual environment, the teacher effectively utilized language strategies to ensure clarity. The instructional methods observed included a mix of direct instruction, collaborative group work, and inquiry-based learning.</w:t>
      </w:r>
    </w:p>
    <w:p>
      <w:pPr>
        <w:pStyle w:val="BodyText"/>
      </w:pPr>
      <w:r>
        <w:t xml:space="preserve">A notable strength was the integration of digital tools to enhance learning. The teacher utilized online platforms common in Quebec schools to facilitate research and presentation skills. The lesson plans were well-structured, aligning with the Quebec Education Program (QEP) competencies. The teacher successfully broke down complex historical and social concepts into manageable tasks, ensuring that students of varying ability levels could access the curriculum.</w:t>
      </w:r>
    </w:p>
    <w:p>
      <w:pPr>
        <w:pStyle w:val="BodyText"/>
      </w:pPr>
      <w:r>
        <w:t xml:space="preserve">However, there is room for improvement in differentiating instruction for students with specific learning needs. While the general pace was appropriate, some students required additional scaffolding that was not consistently provided during the observed sessions.</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critical component of the Teacher Secondary role, particularly in the diverse urban setting of Montreal. The teacher established clear expectations and routines, which contributed to a respectful and orderly learning environment. Students appeared comfortable and willing to participate in discussions.</w:t>
      </w:r>
    </w:p>
    <w:p>
      <w:pPr>
        <w:pStyle w:val="BodyText"/>
      </w:pPr>
      <w:r>
        <w:t xml:space="preserve">The teacher employed positive reinforcement techniques effectively, acknowledging student contributions and encouraging peer-to-peer respect. This approach aligns well with the inclusive values promoted in Canadian schools. The management of transitions between activities was smooth, maximizing instructional time.</w:t>
      </w:r>
    </w:p>
    <w:p>
      <w:pPr>
        <w:pStyle w:val="BodyText"/>
      </w:pPr>
      <w:r>
        <w:t xml:space="preserve">One area for development is the management of off-task behavior during independent work periods. While the overall atmosphere was positive, occasional distractions were not addressed promptly. Implementing more proactive monitoring strategies could further enhance student focus and productivity.</w:t>
      </w:r>
    </w:p>
    <w:bookmarkEnd w:id="24"/>
    <w:bookmarkStart w:id="25" w:name="assessment-and-evaluation"/>
    <w:p>
      <w:pPr>
        <w:pStyle w:val="Heading2"/>
      </w:pPr>
      <w:r>
        <w:t xml:space="preserve">5. Assessment and Evaluation</w:t>
      </w:r>
    </w:p>
    <w:p>
      <w:pPr>
        <w:pStyle w:val="FirstParagraph"/>
      </w:pPr>
      <w:r>
        <w:t xml:space="preserve">The assessment practices observed were consistent with the guidelines of the Quebec Ministry of Education. The Teacher Secondary utilized a variety of assessment methods, including formative quizzes, project-based assessments, and summative examinations. Feedback provided to students was timely and constructive, offering specific guidance on how to improve.</w:t>
      </w:r>
    </w:p>
    <w:p>
      <w:pPr>
        <w:pStyle w:val="BodyText"/>
      </w:pPr>
      <w:r>
        <w:t xml:space="preserve">The teacher demonstrated a clear understanding of the importance of authentic assessment, designing tasks that required students to apply their knowledge to real-world scenarios relevant to their lives in Montreal and beyond. This approach helps students see the relevance of their studies and fosters deeper learning.</w:t>
      </w:r>
    </w:p>
    <w:p>
      <w:pPr>
        <w:pStyle w:val="BodyText"/>
      </w:pPr>
      <w:r>
        <w:t xml:space="preserve">It is recommended that the teacher further document the criteria used for grading to ensure transparency and consistency. Sharing these criteria with students at the beginning of each unit would empower them to take greater ownership of their learning.</w:t>
      </w:r>
    </w:p>
    <w:bookmarkEnd w:id="25"/>
    <w:bookmarkStart w:id="26" w:name="X8ca5646a9bc92b216de47a82f3f65bad756fde0"/>
    <w:p>
      <w:pPr>
        <w:pStyle w:val="Heading2"/>
      </w:pPr>
      <w:r>
        <w:t xml:space="preserve">6. Professional Collaboration and Community Engagement</w:t>
      </w:r>
    </w:p>
    <w:p>
      <w:pPr>
        <w:pStyle w:val="FirstParagraph"/>
      </w:pPr>
      <w:r>
        <w:t xml:space="preserve">As a member of the school community in Canada Montreal, the Teacher Secondary actively participated in departmental meetings and professional development workshops. The teacher demonstrated a collaborative spirit, sharing resources and ideas with colleagues. This commitment to professional learning is essential for maintaining high standards in education.</w:t>
      </w:r>
    </w:p>
    <w:p>
      <w:pPr>
        <w:pStyle w:val="BodyText"/>
      </w:pPr>
      <w:r>
        <w:t xml:space="preserve">The teacher also engaged with parents and guardians, maintaining open lines of communication regarding student progress. This partnership is vital in the Montreal context, where families are often highly involved in their children's education. The teacher's approach was professional, empathetic, and solution-oriented.</w:t>
      </w:r>
    </w:p>
    <w:bookmarkEnd w:id="26"/>
    <w:bookmarkStart w:id="27" w:name="Xda79409093af40bd3d15ed7d2a5582dbca223f1"/>
    <w:p>
      <w:pPr>
        <w:pStyle w:val="Heading2"/>
      </w:pPr>
      <w:r>
        <w:t xml:space="preserve">7. Areas for Improvement and Recommendations</w:t>
      </w:r>
    </w:p>
    <w:p>
      <w:pPr>
        <w:pStyle w:val="FirstParagraph"/>
      </w:pPr>
      <w:r>
        <w:t xml:space="preserve">Based on the observations and evidence collected, the following recommendations are made to support the continued professional growth of the Teacher Secondary:</w:t>
      </w:r>
    </w:p>
    <w:p>
      <w:pPr>
        <w:numPr>
          <w:ilvl w:val="0"/>
          <w:numId w:val="1001"/>
        </w:numPr>
        <w:pStyle w:val="Compact"/>
      </w:pPr>
      <w:r>
        <w:rPr>
          <w:bCs/>
          <w:b/>
        </w:rPr>
        <w:t xml:space="preserve">Differentiation:</w:t>
      </w:r>
      <w:r>
        <w:t xml:space="preserve"> </w:t>
      </w:r>
      <w:r>
        <w:t xml:space="preserve">Develop more targeted strategies to support students with diverse learning needs, including those who are learning French as a second language.</w:t>
      </w:r>
    </w:p>
    <w:p>
      <w:pPr>
        <w:numPr>
          <w:ilvl w:val="0"/>
          <w:numId w:val="1001"/>
        </w:numPr>
        <w:pStyle w:val="Compact"/>
      </w:pPr>
      <w:r>
        <w:rPr>
          <w:bCs/>
          <w:b/>
        </w:rPr>
        <w:t xml:space="preserve">Classroom Management:</w:t>
      </w:r>
      <w:r>
        <w:t xml:space="preserve"> </w:t>
      </w:r>
      <w:r>
        <w:t xml:space="preserve">Enhance monitoring techniques during independent work to minimize distractions and maintain high levels of engagement.</w:t>
      </w:r>
    </w:p>
    <w:p>
      <w:pPr>
        <w:numPr>
          <w:ilvl w:val="0"/>
          <w:numId w:val="1001"/>
        </w:numPr>
        <w:pStyle w:val="Compact"/>
      </w:pPr>
      <w:r>
        <w:rPr>
          <w:bCs/>
          <w:b/>
        </w:rPr>
        <w:t xml:space="preserve">Assessment Transparency:</w:t>
      </w:r>
      <w:r>
        <w:t xml:space="preserve"> </w:t>
      </w:r>
      <w:r>
        <w:t xml:space="preserve">Explicitly share grading criteria and rubrics with students at the outset of each assessment task.</w:t>
      </w:r>
    </w:p>
    <w:p>
      <w:pPr>
        <w:numPr>
          <w:ilvl w:val="0"/>
          <w:numId w:val="1001"/>
        </w:numPr>
        <w:pStyle w:val="Compact"/>
      </w:pPr>
      <w:r>
        <w:rPr>
          <w:bCs/>
          <w:b/>
        </w:rPr>
        <w:t xml:space="preserve">Technology Integration:</w:t>
      </w:r>
      <w:r>
        <w:t xml:space="preserve"> </w:t>
      </w:r>
      <w:r>
        <w:t xml:space="preserve">Continue to explore innovative uses of technology to personalize learning experiences.</w:t>
      </w:r>
    </w:p>
    <w:bookmarkEnd w:id="27"/>
    <w:bookmarkStart w:id="28" w:name="conclusion"/>
    <w:p>
      <w:pPr>
        <w:pStyle w:val="Heading2"/>
      </w:pPr>
      <w:r>
        <w:t xml:space="preserve">8. Conclusion</w:t>
      </w:r>
    </w:p>
    <w:p>
      <w:pPr>
        <w:pStyle w:val="FirstParagraph"/>
      </w:pPr>
      <w:r>
        <w:t xml:space="preserve">In conclusion, this Peer Review Report indicates that the Teacher Secondary is performing at a satisfactory to good level within the educational landscape of Canada Montreal. The teacher demonstrates strong pedagogical skills, effective classroom management, and a commitment to professional collaboration. By addressing the identified areas for improvement, the teacher has the potential to further enhance their practice and contribute even more significantly to the success of their students.</w:t>
      </w:r>
    </w:p>
    <w:p>
      <w:pPr>
        <w:pStyle w:val="BodyText"/>
      </w:pPr>
      <w:r>
        <w:t xml:space="preserve">This review is intended to be a supportive tool for professional development, reflecting the collaborative and growth-oriented culture of the Montreal school system.</w:t>
      </w:r>
    </w:p>
    <w:bookmarkEnd w:id="28"/>
    <w:p>
      <w:pPr>
        <w:pStyle w:val="BodyText"/>
      </w:pPr>
      <w:r>
        <w:rPr>
          <w:bCs/>
          <w:b/>
        </w:rPr>
        <w:t xml:space="preserve">Reviewer Signature:</w:t>
      </w:r>
    </w:p>
    <w:p>
      <w:pPr>
        <w:pStyle w:val="BodyText"/>
      </w:pPr>
      <w:r>
        <w:t xml:space="preserve">__________________________</w:t>
      </w:r>
    </w:p>
    <w:p>
      <w:pPr>
        <w:pStyle w:val="BodyText"/>
      </w:pPr>
      <w:r>
        <w:t xml:space="preserve">Date: ____________________</w:t>
      </w:r>
    </w:p>
    <w:p>
      <w:pPr>
        <w:pStyle w:val="BodyText"/>
      </w:pPr>
      <w:r>
        <w:rPr>
          <w:bCs/>
          <w:b/>
        </w:rPr>
        <w:t xml:space="preserve">Teacher Secondary 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Canada Montreal</dc:title>
  <dc:creator/>
  <dc:language>en</dc:language>
  <cp:keywords/>
  <dcterms:created xsi:type="dcterms:W3CDTF">2026-10-10T04:25:27Z</dcterms:created>
  <dcterms:modified xsi:type="dcterms:W3CDTF">2026-10-10T04:25:27Z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