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Vancouver,</w:t>
      </w:r>
      <w:r>
        <w:t xml:space="preserve"> </w:t>
      </w:r>
      <w:r>
        <w:t xml:space="preserve">Canada</w:t>
      </w:r>
    </w:p>
    <w:bookmarkStart w:id="20" w:name="peer-review-report-teacher-secondary"/>
    <w:p>
      <w:pPr>
        <w:pStyle w:val="Heading1"/>
      </w:pPr>
      <w:r>
        <w:t xml:space="preserve">Peer Review Report: Teacher Secondary</w:t>
      </w:r>
    </w:p>
    <w:p>
      <w:pPr>
        <w:pStyle w:val="FirstParagraph"/>
      </w:pPr>
      <w:r>
        <w:rPr>
          <w:bCs/>
          <w:b/>
        </w:rPr>
        <w:t xml:space="preserve">Region:</w:t>
      </w:r>
      <w:r>
        <w:t xml:space="preserve"> </w:t>
      </w:r>
      <w:r>
        <w:t xml:space="preserve">Canada Vancouver (British Columbia)</w:t>
      </w:r>
    </w:p>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Annual Professional Growth Cycle</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 Teacher Secondary within the educational framework of Canada Vancouver. The review is conducted in alignment with the British Columbia Teacher Regulation Board (BCTRB) standards and the specific pedagogical expectations of the Vancouver School District. The purpose of this document is to provide a comprehensive, evidence-based analysis of the teacher’s instructional strategies, classroom management, curriculum delivery, and professional collaboration.</w:t>
      </w:r>
    </w:p>
    <w:p>
      <w:pPr>
        <w:pStyle w:val="BodyText"/>
      </w:pPr>
      <w:r>
        <w:t xml:space="preserve">The review process observed in this context emphasizes a growth-oriented approach, focusing on continuous improvement rather than mere compliance. It reflects the collaborative culture prevalent in Vancouver’s secondary schools, where peer feedback is integral to professional development. This report synthesizes observations, student feedback, and portfolio reviews to offer a holistic view of the teacher’s performance.</w:t>
      </w:r>
    </w:p>
    <w:bookmarkEnd w:id="21"/>
    <w:bookmarkStart w:id="25" w:name="X89b8f8562146257aef6061ba3bbf978fd5624c4"/>
    <w:p>
      <w:pPr>
        <w:pStyle w:val="Heading2"/>
      </w:pPr>
      <w:r>
        <w:t xml:space="preserve">2. Instructional Practice and Curriculum Delivery</w:t>
      </w:r>
    </w:p>
    <w:bookmarkStart w:id="22" w:name="alignment-with-bc-curriculum"/>
    <w:p>
      <w:pPr>
        <w:pStyle w:val="Heading3"/>
      </w:pPr>
      <w:r>
        <w:t xml:space="preserve">2.1 Alignment with BC Curriculum</w:t>
      </w:r>
    </w:p>
    <w:p>
      <w:pPr>
        <w:pStyle w:val="FirstParagraph"/>
      </w:pPr>
      <w:r>
        <w:t xml:space="preserve">The Teacher Secondary demonstrates a strong command of the British Columbia curriculum, effectively integrating the three core competencies: Communication, Thinking, and Personal and Social Responsibility. Lessons observed were meticulously planned to meet the specific learning outcomes for the grade level. The teacher successfully utilized the "Big Ideas" and "Curricular Competencies" to structure units that are both rigorous and relevant to the diverse student population in Canada Vancouver.</w:t>
      </w:r>
    </w:p>
    <w:bookmarkEnd w:id="22"/>
    <w:bookmarkStart w:id="23" w:name="differentiation-and-inclusion"/>
    <w:p>
      <w:pPr>
        <w:pStyle w:val="Heading3"/>
      </w:pPr>
      <w:r>
        <w:t xml:space="preserve">2.2 Differentiation and Inclusion</w:t>
      </w:r>
    </w:p>
    <w:p>
      <w:pPr>
        <w:pStyle w:val="FirstParagraph"/>
      </w:pPr>
      <w:r>
        <w:t xml:space="preserve">A standout aspect of this teacher’s practice is the commitment to inclusive education. Recognizing the multicultural nature of Vancouver, the teacher employs differentiated instruction strategies to support students with varying learning needs, including English Language Learners (ELLs) and students with Individual Education Plans (IEPs). Scaffolding techniques, such as graphic organizers, visual aids, and tiered assignments, were observed to be used effectively. This ensures that all students, regardless of their background or ability, have equitable access to the curriculum.</w:t>
      </w:r>
    </w:p>
    <w:bookmarkEnd w:id="23"/>
    <w:bookmarkStart w:id="24" w:name="engagement-and-active-learning"/>
    <w:p>
      <w:pPr>
        <w:pStyle w:val="Heading3"/>
      </w:pPr>
      <w:r>
        <w:t xml:space="preserve">2.3 Engagement and Active Learning</w:t>
      </w:r>
    </w:p>
    <w:p>
      <w:pPr>
        <w:pStyle w:val="FirstParagraph"/>
      </w:pPr>
      <w:r>
        <w:t xml:space="preserve">Classroom observations revealed a high level of student engagement. The teacher moves beyond traditional lecturing, incorporating inquiry-based learning, collaborative group work, and technology integration. For instance, the use of digital platforms for real-time feedback and collaborative projects was noted. This approach not only aligns with modern pedagogical trends but also prepares secondary students for the demands of higher education and the workforce in a tech-savvy city like Vancouver.</w:t>
      </w:r>
    </w:p>
    <w:bookmarkEnd w:id="24"/>
    <w:bookmarkEnd w:id="25"/>
    <w:bookmarkStart w:id="26" w:name="X13f42425fe5e3e244d3644255ee2032248f90cc"/>
    <w:p>
      <w:pPr>
        <w:pStyle w:val="Heading2"/>
      </w:pPr>
      <w:r>
        <w:t xml:space="preserve">3. Classroom Management and Learning Environment</w:t>
      </w:r>
    </w:p>
    <w:p>
      <w:pPr>
        <w:pStyle w:val="FirstParagraph"/>
      </w:pPr>
      <w:r>
        <w:t xml:space="preserve">The learning environment established by the Teacher Secondary is characterized by respect, safety, and high expectations. Classroom management strategies are proactive rather than reactive. The teacher has established clear routines and procedures that students follow consistently, minimizing disruptions and maximizing instructional time.</w:t>
      </w:r>
    </w:p>
    <w:p>
      <w:pPr>
        <w:pStyle w:val="BodyText"/>
      </w:pPr>
      <w:r>
        <w:t xml:space="preserve">Furthermore, the teacher fosters a positive classroom culture where students feel valued and heard. This is particularly important in the secondary context, where adolescent social dynamics can be complex. The teacher’s ability to build rapport with students, while maintaining professional boundaries, creates a supportive atmosphere conducive to learning. The physical classroom layout was also observed to be flexible, allowing for various modes of instruction and collaboration.</w:t>
      </w:r>
    </w:p>
    <w:bookmarkEnd w:id="26"/>
    <w:bookmarkStart w:id="27" w:name="assessment-and-feedback"/>
    <w:p>
      <w:pPr>
        <w:pStyle w:val="Heading2"/>
      </w:pPr>
      <w:r>
        <w:t xml:space="preserve">4. Assessment and Feedback</w:t>
      </w:r>
    </w:p>
    <w:p>
      <w:pPr>
        <w:pStyle w:val="FirstParagraph"/>
      </w:pPr>
      <w:r>
        <w:t xml:space="preserve">Assessment practices are robust and aligned with the principles of assessment for learning, as of learning, and as learning. The Teacher Secondary utilizes a variety of formative and summative assessment tools to gauge student understanding. Feedback provided to students is timely, specific, and actionable, guiding them toward improvement rather than simply assigning a grade.</w:t>
      </w:r>
    </w:p>
    <w:p>
      <w:pPr>
        <w:pStyle w:val="BodyText"/>
      </w:pPr>
      <w:r>
        <w:t xml:space="preserve">The teacher also involves students in the assessment process through self-assessment and peer-assessment activities. This metacognitive approach empowers students to take ownership of their learning. Additionally, the teacher maintains accurate and detailed records of student progress, ensuring transparency and accountability in reporting to parents and guardians.</w:t>
      </w:r>
    </w:p>
    <w:bookmarkEnd w:id="27"/>
    <w:bookmarkStart w:id="28" w:name="X8ca5646a9bc92b216de47a82f3f65bad756fde0"/>
    <w:p>
      <w:pPr>
        <w:pStyle w:val="Heading2"/>
      </w:pPr>
      <w:r>
        <w:t xml:space="preserve">5. Professional Collaboration and Community Engagement</w:t>
      </w:r>
    </w:p>
    <w:p>
      <w:pPr>
        <w:pStyle w:val="FirstParagraph"/>
      </w:pPr>
      <w:r>
        <w:t xml:space="preserve">In the context of Canada Vancouver, professional collaboration is highly valued. The Teacher Secondary actively participates in departmental meetings, professional learning communities (PLCs), and school-wide initiatives. The teacher shares resources and best practices with colleagues, contributing to a culture of collective efficacy.</w:t>
      </w:r>
    </w:p>
    <w:p>
      <w:pPr>
        <w:pStyle w:val="BodyText"/>
      </w:pPr>
      <w:r>
        <w:t xml:space="preserve">Moreover, the teacher engages with the broader community, leveraging local resources and partnerships to enrich the learning experience. This might include field trips to Vancouver museums, collaborations with local universities, or inviting community experts into the classroom. Such engagement helps students connect their learning to the real world and fosters a sense of civic responsibility.</w:t>
      </w:r>
    </w:p>
    <w:bookmarkEnd w:id="28"/>
    <w:bookmarkStart w:id="29" w:name="areas-for-growth-and-recommendations"/>
    <w:p>
      <w:pPr>
        <w:pStyle w:val="Heading2"/>
      </w:pPr>
      <w:r>
        <w:t xml:space="preserve">6. Areas for Growth and Recommendations</w:t>
      </w:r>
    </w:p>
    <w:p>
      <w:pPr>
        <w:pStyle w:val="FirstParagraph"/>
      </w:pPr>
      <w:r>
        <w:t xml:space="preserve">While the Teacher Secondary demonstrates excellence in many areas, there are opportunities for further growth. One recommendation is to deepen the integration of Indigenous perspectives and content, in alignment with the Truth and Reconciliation Commission’s Calls to Action and the BC curriculum’s emphasis on Indigenous knowledge. This could involve incorporating more Indigenous literature, history, and ways of knowing into the lessons.</w:t>
      </w:r>
    </w:p>
    <w:p>
      <w:pPr>
        <w:pStyle w:val="BodyText"/>
      </w:pPr>
      <w:r>
        <w:t xml:space="preserve">Another area for development is the use of data-driven instruction. While the teacher collects assessment data, there is potential to analyze this data more systematically to identify trends and adjust instructional strategies accordingly. Professional development in data literacy could be beneficial.</w:t>
      </w:r>
    </w:p>
    <w:bookmarkEnd w:id="29"/>
    <w:bookmarkStart w:id="30" w:name="conclusion"/>
    <w:p>
      <w:pPr>
        <w:pStyle w:val="Heading2"/>
      </w:pPr>
      <w:r>
        <w:t xml:space="preserve">7. Conclusion</w:t>
      </w:r>
    </w:p>
    <w:p>
      <w:pPr>
        <w:pStyle w:val="FirstParagraph"/>
      </w:pPr>
      <w:r>
        <w:t xml:space="preserve">In conclusion, this Peer Review Report affirms that the Teacher Secondary is a highly competent and dedicated professional who makes significant contributions to the educational landscape of Canada Vancouver. The teacher’s commitment to inclusive, engaging, and rigorous instruction, combined with strong classroom management and professional collaboration, positions them as a valuable asset to the school community. The recommendations provided are intended to support continued growth and excellence in their practice.</w:t>
      </w:r>
    </w:p>
    <w:bookmarkEnd w:id="30"/>
    <w:p>
      <w:pPr>
        <w:pStyle w:val="BodyText"/>
      </w:pPr>
      <w:r>
        <w:rPr>
          <w:bCs/>
          <w:b/>
        </w:rPr>
        <w:t xml:space="preserve">Peer Reviewer Name:</w:t>
      </w:r>
      <w:r>
        <w:t xml:space="preserve"> </w:t>
      </w:r>
      <w:r>
        <w:t xml:space="preserve">[Name]</w:t>
      </w:r>
    </w:p>
    <w:p>
      <w:pPr>
        <w:pStyle w:val="BodyText"/>
      </w:pPr>
      <w:r>
        <w:rPr>
          <w:bCs/>
          <w:b/>
        </w:rPr>
        <w:t xml:space="preserve">Role:</w:t>
      </w:r>
      <w:r>
        <w:t xml:space="preserve"> </w:t>
      </w:r>
      <w:r>
        <w:t xml:space="preserve">Senior Teacher / Department Head</w:t>
      </w:r>
    </w:p>
    <w:p>
      <w:pPr>
        <w:pStyle w:val="BodyText"/>
      </w:pPr>
      <w:r>
        <w:rPr>
          <w:bCs/>
          <w:b/>
        </w:rPr>
        <w:t xml:space="preserve">Signature:</w:t>
      </w:r>
      <w:r>
        <w:t xml:space="preserve"> </w:t>
      </w:r>
      <w:r>
        <w:t xml:space="preserve">_________________________</w:t>
      </w:r>
    </w:p>
    <w:p>
      <w:pPr>
        <w:pStyle w:val="BodyText"/>
      </w:pPr>
      <w:r>
        <w:rPr>
          <w:bCs/>
          <w:b/>
        </w:rPr>
        <w:t xml:space="preserve">Teacher Secondary Name:</w:t>
      </w:r>
      <w:r>
        <w:t xml:space="preserve"> </w:t>
      </w:r>
      <w:r>
        <w:t xml:space="preserve">[Name]</w:t>
      </w:r>
    </w:p>
    <w:p>
      <w:pPr>
        <w:pStyle w:val="BodyText"/>
      </w:pPr>
      <w:r>
        <w:rPr>
          <w:bCs/>
          <w:b/>
        </w:rPr>
        <w:t xml:space="preserve">Role:</w:t>
      </w:r>
      <w:r>
        <w:t xml:space="preserve"> </w:t>
      </w:r>
      <w:r>
        <w:t xml:space="preserve">Teacher Secondary</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Vancouver, Canada</dc:title>
  <dc:creator/>
  <dc:language>en</dc:language>
  <cp:keywords/>
  <dcterms:created xsi:type="dcterms:W3CDTF">2026-10-10T07:01:34Z</dcterms:created>
  <dcterms:modified xsi:type="dcterms:W3CDTF">2026-10-10T07:01:34Z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