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China</w:t>
      </w:r>
      <w:r>
        <w:t xml:space="preserve"> </w:t>
      </w:r>
      <w:r>
        <w:t xml:space="preserve">Beijing</w:t>
      </w:r>
    </w:p>
    <w:bookmarkStart w:id="27" w:name="peer-review-report-teacher-secondary"/>
    <w:p>
      <w:pPr>
        <w:pStyle w:val="Heading1"/>
      </w:pPr>
      <w:r>
        <w:t xml:space="preserve">Peer Review Report: Teacher Secondary</w:t>
      </w:r>
    </w:p>
    <w:p>
      <w:pPr>
        <w:pStyle w:val="FirstParagraph"/>
      </w:pPr>
      <w:r>
        <w:t xml:space="preserve">Teacher Name:</w:t>
      </w:r>
    </w:p>
    <w:p>
      <w:pPr>
        <w:pStyle w:val="BodyText"/>
      </w:pPr>
      <w:r>
        <w:t xml:space="preserve">[Insert Teacher Name]</w:t>
      </w:r>
    </w:p>
    <w:p>
      <w:pPr>
        <w:pStyle w:val="BodyText"/>
      </w:pPr>
      <w:r>
        <w:t xml:space="preserve">Subject Area:</w:t>
      </w:r>
    </w:p>
    <w:p>
      <w:pPr>
        <w:pStyle w:val="BodyText"/>
      </w:pPr>
      <w:r>
        <w:t xml:space="preserve">Secondary Education (e.g., Mathematics/Science)</w:t>
      </w:r>
    </w:p>
    <w:p>
      <w:pPr>
        <w:pStyle w:val="BodyText"/>
      </w:pPr>
      <w:r>
        <w:t xml:space="preserve">Location:</w:t>
      </w:r>
    </w:p>
    <w:p>
      <w:pPr>
        <w:pStyle w:val="BodyText"/>
      </w:pPr>
      <w:r>
        <w:t xml:space="preserve">China Beijing</w:t>
      </w:r>
    </w:p>
    <w:p>
      <w:pPr>
        <w:pStyle w:val="BodyText"/>
      </w:pPr>
      <w:r>
        <w:t xml:space="preserve">Reviewer Name:</w:t>
      </w:r>
    </w:p>
    <w:p>
      <w:pPr>
        <w:pStyle w:val="BodyText"/>
      </w:pPr>
      <w:r>
        <w:t xml:space="preserve">[Insert Reviewer Name]</w:t>
      </w:r>
    </w:p>
    <w:p>
      <w:pPr>
        <w:pStyle w:val="BodyText"/>
      </w:pPr>
      <w:r>
        <w:t xml:space="preserve">Date of Observation:</w:t>
      </w:r>
    </w:p>
    <w:p>
      <w:pPr>
        <w:pStyle w:val="BodyText"/>
      </w:pPr>
      <w:r>
        <w:t xml:space="preserve">[Insert Date]</w:t>
      </w:r>
    </w:p>
    <w:p>
      <w:pPr>
        <w:pStyle w:val="BodyText"/>
      </w:pPr>
      <w:r>
        <w:t xml:space="preserve">Grade Level:</w:t>
      </w:r>
    </w:p>
    <w:p>
      <w:pPr>
        <w:pStyle w:val="BodyText"/>
      </w:pPr>
      <w:r>
        <w:t xml:space="preserve">Secondary (Grades 7-9)</w:t>
      </w:r>
    </w:p>
    <w:bookmarkStart w:id="20"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instructional delivery of a Teacher Secondary operating within the dynamic educational landscape of China Beijing. The purpose of this review is to provide constructive feedback that aligns with both international best practices and the specific academic rigor expected in Beijing's secondary education sector. The observation focused on a standard instructional period, assessing the teacher's ability to engage adolescent learners, manage classroom dynamics, and deliver curriculum content effectively.</w:t>
      </w:r>
    </w:p>
    <w:p>
      <w:pPr>
        <w:pStyle w:val="BodyText"/>
      </w:pPr>
      <w:r>
        <w:t xml:space="preserve">The educational environment in Beijing is characterized by high academic expectations, a blend of traditional Confucian values regarding respect for educators, and a rapidly modernizing approach to student-centered learning. This report evaluates how the Teacher Secondary navigates these cultural and academic nuances to foster an effective learning environment.</w:t>
      </w:r>
    </w:p>
    <w:bookmarkEnd w:id="20"/>
    <w:bookmarkStart w:id="21" w:name="lesson-planning-and-content-knowledge"/>
    <w:p>
      <w:pPr>
        <w:pStyle w:val="Heading2"/>
      </w:pPr>
      <w:r>
        <w:t xml:space="preserve">2. Lesson Planning and Content Knowledge</w:t>
      </w:r>
    </w:p>
    <w:p>
      <w:pPr>
        <w:pStyle w:val="FirstParagraph"/>
      </w:pPr>
      <w:r>
        <w:t xml:space="preserve">The Teacher Secondary demonstrated a robust command of the subject matter, which is a prerequisite for success in the competitive Beijing academic environment. The lesson plan was structured logically, with clear learning objectives that were communicated to the students at the outset. The content was aligned with the national curriculum standards while incorporating supplementary materials that reflected local relevance.</w:t>
      </w:r>
    </w:p>
    <w:p>
      <w:pPr>
        <w:pStyle w:val="BodyText"/>
      </w:pPr>
      <w:r>
        <w:t xml:space="preserve">One notable strength was the integration of real-world applications into the theoretical framework. For a secondary-level audience, connecting abstract concepts to tangible scenarios is crucial for maintaining engagement. The teacher utilized digital resources and visual aids effectively, showcasing an adaptability to the technology-rich infrastructure available in Beijing schools. However, there is an opportunity to further differentiate the content to better support students with varying proficiency levels, ensuring that high achievers are challenged while those requiring additional support are not left behind.</w:t>
      </w:r>
    </w:p>
    <w:bookmarkEnd w:id="21"/>
    <w:bookmarkStart w:id="22" w:name="Xd2b21e284c478e8da8f8b6aa41a27cd01573145"/>
    <w:p>
      <w:pPr>
        <w:pStyle w:val="Heading2"/>
      </w:pPr>
      <w:r>
        <w:t xml:space="preserve">3. Instructional Strategies and Student Engagement</w:t>
      </w:r>
    </w:p>
    <w:p>
      <w:pPr>
        <w:pStyle w:val="FirstParagraph"/>
      </w:pPr>
      <w:r>
        <w:t xml:space="preserve">In the context of a Teacher Secondary role, the transition from teacher-centered to student-centered learning is a critical metric. During the observation, the teacher employed a variety of instructional strategies, including direct instruction, guided practice, and collaborative group work. The use of group work was particularly effective in fostering peer-to-peer learning, a skill essential for secondary students preparing for higher education.</w:t>
      </w:r>
    </w:p>
    <w:p>
      <w:pPr>
        <w:pStyle w:val="BodyText"/>
      </w:pPr>
      <w:r>
        <w:t xml:space="preserve">Student engagement levels were generally high. The teacher successfully maintained the attention of the class through varied pacing and interactive questioning techniques. The questioning strategy moved beyond simple recall to higher-order thinking questions, encouraging students to analyze and evaluate information. This aligns well with the cognitive development stage of secondary students. The teacher also demonstrated cultural sensitivity, respecting the hierarchical nature of the classroom while encouraging students to voice their opinions, a balance that is often challenging in the Beijing context.</w:t>
      </w:r>
    </w:p>
    <w:bookmarkEnd w:id="22"/>
    <w:bookmarkStart w:id="23" w:name="classroom-management-and-environment"/>
    <w:p>
      <w:pPr>
        <w:pStyle w:val="Heading2"/>
      </w:pPr>
      <w:r>
        <w:t xml:space="preserve">4. Classroom Management and Environment</w:t>
      </w:r>
    </w:p>
    <w:p>
      <w:pPr>
        <w:pStyle w:val="FirstParagraph"/>
      </w:pPr>
      <w:r>
        <w:t xml:space="preserve">Classroom management was a standout area of performance. The Teacher Secondary established a clear set of expectations and routines, which were consistently enforced. The classroom atmosphere was one of mutual respect, reflecting the cultural emphasis on discipline and order prevalent in China Beijing. Despite the large class size typical of the region, the teacher maintained control without resorting to authoritarian measures, instead using positive reinforcement and non-verbal cues to manage behavior.</w:t>
      </w:r>
    </w:p>
    <w:p>
      <w:pPr>
        <w:pStyle w:val="BodyText"/>
      </w:pPr>
      <w:r>
        <w:t xml:space="preserve">The physical environment was organized and conducive to learning. Learning materials were accessible, and the classroom layout facilitated both individual work and group collaboration. The teacher's presence was authoritative yet approachable, creating a safe space for students to take intellectual risks. This balance is crucial for secondary students who are navigating complex social and academic pressures.</w:t>
      </w:r>
    </w:p>
    <w:bookmarkEnd w:id="23"/>
    <w:bookmarkStart w:id="24" w:name="assessment-and-feedback"/>
    <w:p>
      <w:pPr>
        <w:pStyle w:val="Heading2"/>
      </w:pPr>
      <w:r>
        <w:t xml:space="preserve">5. Assessment and Feedback</w:t>
      </w:r>
    </w:p>
    <w:p>
      <w:pPr>
        <w:pStyle w:val="FirstParagraph"/>
      </w:pPr>
      <w:r>
        <w:t xml:space="preserve">The teacher utilized formative assessment techniques throughout the lesson to gauge student understanding. Exit tickets and quick quizzes were employed to check for comprehension, allowing the teacher to adjust instruction in real-time. Feedback provided to students was specific, actionable, and timely. This approach supports the continuous improvement model that is increasingly valued in Beijing's educational reforms.</w:t>
      </w:r>
    </w:p>
    <w:p>
      <w:pPr>
        <w:pStyle w:val="BodyText"/>
      </w:pPr>
      <w:r>
        <w:t xml:space="preserve">However, there is room for improvement in the area of summative assessment design. While the formative checks were effective, the alignment of these checks with the final grading criteria could be made more explicit to students. Ensuring transparency in assessment criteria helps secondary students understand the expectations and take ownership of their learning journey.</w:t>
      </w:r>
    </w:p>
    <w:bookmarkEnd w:id="24"/>
    <w:bookmarkStart w:id="25" w:name="recommendations-for-professional-growth"/>
    <w:p>
      <w:pPr>
        <w:pStyle w:val="Heading2"/>
      </w:pPr>
      <w:r>
        <w:t xml:space="preserve">6. Recommendations for Professional Growth</w:t>
      </w:r>
    </w:p>
    <w:p>
      <w:pPr>
        <w:pStyle w:val="FirstParagraph"/>
      </w:pPr>
      <w:r>
        <w:t xml:space="preserve">Based on the observations, the following recommendations are proposed for the Teacher Secondary to further enhance their practice within the China Beijing educational context:</w:t>
      </w:r>
    </w:p>
    <w:p>
      <w:pPr>
        <w:numPr>
          <w:ilvl w:val="0"/>
          <w:numId w:val="1001"/>
        </w:numPr>
        <w:pStyle w:val="Compact"/>
      </w:pPr>
      <w:r>
        <w:rPr>
          <w:bCs/>
          <w:b/>
        </w:rPr>
        <w:t xml:space="preserve">Differentiated Instruction:</w:t>
      </w:r>
      <w:r>
        <w:t xml:space="preserve"> </w:t>
      </w:r>
      <w:r>
        <w:t xml:space="preserve">Develop more targeted strategies to address the diverse learning needs within the classroom, ensuring that all students, regardless of their starting point, can achieve the learning objectives.</w:t>
      </w:r>
    </w:p>
    <w:p>
      <w:pPr>
        <w:numPr>
          <w:ilvl w:val="0"/>
          <w:numId w:val="1001"/>
        </w:numPr>
        <w:pStyle w:val="Compact"/>
      </w:pPr>
      <w:r>
        <w:rPr>
          <w:bCs/>
          <w:b/>
        </w:rPr>
        <w:t xml:space="preserve">Student Autonomy:</w:t>
      </w:r>
      <w:r>
        <w:t xml:space="preserve"> </w:t>
      </w:r>
      <w:r>
        <w:t xml:space="preserve">Continue to foster student independence by incorporating more project-based learning opportunities that allow students to explore topics of personal interest while meeting curriculum standards.</w:t>
      </w:r>
    </w:p>
    <w:p>
      <w:pPr>
        <w:numPr>
          <w:ilvl w:val="0"/>
          <w:numId w:val="1001"/>
        </w:numPr>
        <w:pStyle w:val="Compact"/>
      </w:pPr>
      <w:r>
        <w:rPr>
          <w:bCs/>
          <w:b/>
        </w:rPr>
        <w:t xml:space="preserve">Technology Integration:</w:t>
      </w:r>
      <w:r>
        <w:t xml:space="preserve"> </w:t>
      </w:r>
      <w:r>
        <w:t xml:space="preserve">Leverage the advanced technological resources available in Beijing schools to create more immersive and interactive learning experiences, such as virtual simulations or collaborative online platforms.</w:t>
      </w:r>
    </w:p>
    <w:p>
      <w:pPr>
        <w:numPr>
          <w:ilvl w:val="0"/>
          <w:numId w:val="1001"/>
        </w:numPr>
        <w:pStyle w:val="Compact"/>
      </w:pPr>
      <w:r>
        <w:rPr>
          <w:bCs/>
          <w:b/>
        </w:rPr>
        <w:t xml:space="preserve">Cultural Bridging:</w:t>
      </w:r>
      <w:r>
        <w:t xml:space="preserve"> </w:t>
      </w:r>
      <w:r>
        <w:t xml:space="preserve">If applicable, further integrate cross-cultural perspectives into the curriculum to prepare students for a globalized world, while maintaining respect for local traditions and values.</w:t>
      </w:r>
    </w:p>
    <w:bookmarkEnd w:id="25"/>
    <w:bookmarkStart w:id="26" w:name="conclusion"/>
    <w:p>
      <w:pPr>
        <w:pStyle w:val="Heading2"/>
      </w:pPr>
      <w:r>
        <w:t xml:space="preserve">7. Conclusion</w:t>
      </w:r>
    </w:p>
    <w:p>
      <w:pPr>
        <w:pStyle w:val="FirstParagraph"/>
      </w:pPr>
      <w:r>
        <w:t xml:space="preserve">In conclusion, the Teacher Secondary demonstrated a high level of professionalism, pedagogical skill, and cultural awareness during the observed lesson. The ability to manage a large, diverse classroom in the demanding environment of China Beijing is a testament to their competence. With a focus on the recommended areas for growth, particularly in differentiated instruction and student autonomy, this teacher is well-positioned to continue making significant contributions to the secondary education sector. This Peer Review Report affirms their dedication to excellence and their commitment to the holistic development of their students.</w:t>
      </w:r>
    </w:p>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Teacher Acknowledgement:</w:t>
      </w:r>
      <w:r>
        <w:br/>
      </w:r>
      <w:r>
        <w:br/>
      </w:r>
      <w:r>
        <w:t xml:space="preserve">[Insert Name]</w:t>
      </w:r>
      <w:r>
        <w:br/>
      </w:r>
      <w:r>
        <w:t xml:space="preserve">[Insert Title]</w:t>
      </w:r>
    </w:p>
    <w:p>
      <w:pPr>
        <w:pStyle w:val="BodyText"/>
      </w:pPr>
      <w:r>
        <w:t xml:space="preserve">Confidential Document - For Internal Use Only | Peer Review Report: Teacher Secondary |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China Beijing</dc:title>
  <dc:creator/>
  <dc:language>en</dc:language>
  <cp:keywords/>
  <dcterms:created xsi:type="dcterms:W3CDTF">2026-10-10T04:26:48Z</dcterms:created>
  <dcterms:modified xsi:type="dcterms:W3CDTF">2026-10-10T04:26:48Z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