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Secondary</w:t>
      </w:r>
      <w:r>
        <w:t xml:space="preserve"> </w:t>
      </w:r>
      <w:r>
        <w:t xml:space="preserve">Education</w:t>
      </w:r>
      <w:r>
        <w:t xml:space="preserve"> </w:t>
      </w:r>
      <w:r>
        <w:t xml:space="preserve">-</w:t>
      </w:r>
      <w:r>
        <w:t xml:space="preserve"> </w:t>
      </w:r>
      <w:r>
        <w:t xml:space="preserve">Kinshasa,</w:t>
      </w:r>
      <w:r>
        <w:t xml:space="preserve"> </w:t>
      </w:r>
      <w:r>
        <w:t xml:space="preserve">DR</w:t>
      </w:r>
      <w:r>
        <w:t xml:space="preserve"> </w:t>
      </w:r>
      <w:r>
        <w:t xml:space="preserve">Congo</w:t>
      </w:r>
    </w:p>
    <w:bookmarkStart w:id="29" w:name="peer-review-report-secondary-education"/>
    <w:p>
      <w:pPr>
        <w:pStyle w:val="Heading1"/>
      </w:pPr>
      <w:r>
        <w:t xml:space="preserve">Peer Review Report: Secondary Education</w:t>
      </w:r>
    </w:p>
    <w:p>
      <w:pPr>
        <w:pStyle w:val="FirstParagraph"/>
      </w:pPr>
      <w:r>
        <w:t xml:space="preserve">Location:</w:t>
      </w:r>
      <w:r>
        <w:t xml:space="preserve"> </w:t>
      </w:r>
      <w:r>
        <w:t xml:space="preserve">Kinshasa, Democratic Republic of the Congo</w:t>
      </w:r>
    </w:p>
    <w:p>
      <w:pPr>
        <w:pStyle w:val="BodyText"/>
      </w:pPr>
      <w:r>
        <w:t xml:space="preserve">Target Level:</w:t>
      </w:r>
      <w:r>
        <w:t xml:space="preserve"> </w:t>
      </w:r>
      <w:r>
        <w:t xml:space="preserve">Secondary Education (Enseignement Secondaire)</w:t>
      </w:r>
    </w:p>
    <w:p>
      <w:pPr>
        <w:pStyle w:val="BodyText"/>
      </w:pPr>
      <w:r>
        <w:t xml:space="preserve">Date of Review:</w:t>
      </w:r>
      <w:r>
        <w:t xml:space="preserve"> </w:t>
      </w:r>
      <w:r>
        <w:t xml:space="preserve">October 24, 2023</w:t>
      </w:r>
    </w:p>
    <w:p>
      <w:pPr>
        <w:pStyle w:val="BodyText"/>
      </w:pPr>
      <w:r>
        <w:t xml:space="preserve">Review Type:</w:t>
      </w:r>
      <w:r>
        <w:t xml:space="preserve"> </w:t>
      </w:r>
      <w:r>
        <w:t xml:space="preserve">Formative Classroom Observation &amp; Professional Development</w:t>
      </w:r>
    </w:p>
    <w:p>
      <w:pPr>
        <w:pStyle w:val="BodyText"/>
      </w:pPr>
      <w:r>
        <w:t xml:space="preserve">Confidentiality:</w:t>
      </w:r>
      <w:r>
        <w:t xml:space="preserve"> </w:t>
      </w:r>
      <w:r>
        <w:t xml:space="preserve">Strictly Confidential - For Professional Growth Only</w:t>
      </w:r>
    </w:p>
    <w:bookmarkStart w:id="20" w:name="introduction-and-context"/>
    <w:p>
      <w:pPr>
        <w:pStyle w:val="Heading2"/>
      </w:pPr>
      <w:r>
        <w:t xml:space="preserve">1. Introduction and Context</w:t>
      </w:r>
    </w:p>
    <w:p>
      <w:pPr>
        <w:pStyle w:val="FirstParagraph"/>
      </w:pPr>
      <w:r>
        <w:t xml:space="preserve">This Peer Review Report serves as a formal documentation of a collaborative observation conducted within the secondary education sector in Kinshasa, Democratic Republic of the Congo. The purpose of this review is to support the continuous professional development of the</w:t>
      </w:r>
      <w:r>
        <w:t xml:space="preserve"> </w:t>
      </w:r>
      <w:r>
        <w:rPr>
          <w:bCs/>
          <w:b/>
        </w:rPr>
        <w:t xml:space="preserve">Teacher Secondary</w:t>
      </w:r>
      <w:r>
        <w:t xml:space="preserve"> </w:t>
      </w:r>
      <w:r>
        <w:t xml:space="preserve">staff, aligning with the Ministry of National Education's goals for improving pedagogical standards across the capital city.</w:t>
      </w:r>
    </w:p>
    <w:p>
      <w:pPr>
        <w:pStyle w:val="BodyText"/>
      </w:pPr>
      <w:r>
        <w:t xml:space="preserve">The educational landscape in Kinshasa is dynamic and challenging. Secondary schools here often manage large class sizes, diverse student backgrounds, and varying resource levels. Therefore, this review focuses not only on instructional delivery but also on classroom management strategies that are effective within the specific cultural and logistical context of Kinshasa. The review is conducted by a peer colleague to foster a culture of shared learning, mutual respect, and collective improvement among educators.</w:t>
      </w:r>
    </w:p>
    <w:bookmarkEnd w:id="20"/>
    <w:bookmarkStart w:id="21" w:name="observation-details"/>
    <w:p>
      <w:pPr>
        <w:pStyle w:val="Heading2"/>
      </w:pPr>
      <w:r>
        <w:t xml:space="preserve">2. Observation Details</w:t>
      </w:r>
    </w:p>
    <w:p>
      <w:pPr>
        <w:pStyle w:val="FirstParagraph"/>
      </w:pPr>
      <w:r>
        <w:t xml:space="preserve">Subject:</w:t>
      </w:r>
      <w:r>
        <w:t xml:space="preserve"> </w:t>
      </w:r>
      <w:r>
        <w:t xml:space="preserve">Mathematics / Sciences / Humanities (Adaptable)</w:t>
      </w:r>
      <w:r>
        <w:br/>
      </w:r>
      <w:r>
        <w:t xml:space="preserve">Grade Level:</w:t>
      </w:r>
      <w:r>
        <w:t xml:space="preserve"> </w:t>
      </w:r>
      <w:r>
        <w:t xml:space="preserve">2nd Year Secondary (2ème Secondaire)</w:t>
      </w:r>
      <w:r>
        <w:br/>
      </w:r>
      <w:r>
        <w:t xml:space="preserve">Duration:</w:t>
      </w:r>
      <w:r>
        <w:t xml:space="preserve"> </w:t>
      </w:r>
      <w:r>
        <w:t xml:space="preserve">50 Minutes</w:t>
      </w:r>
      <w:r>
        <w:br/>
      </w:r>
      <w:r>
        <w:t xml:space="preserve">Class Size:</w:t>
      </w:r>
      <w:r>
        <w:t xml:space="preserve"> </w:t>
      </w:r>
      <w:r>
        <w:t xml:space="preserve">Approximately 45 students</w:t>
      </w:r>
      <w:r>
        <w:br/>
      </w:r>
      <w:r>
        <w:t xml:space="preserve">Language of Instruction:</w:t>
      </w:r>
      <w:r>
        <w:t xml:space="preserve"> </w:t>
      </w:r>
      <w:r>
        <w:t xml:space="preserve">French (with code-switching to Lingala for clarification)</w:t>
      </w:r>
    </w:p>
    <w:bookmarkEnd w:id="21"/>
    <w:bookmarkStart w:id="25" w:name="analysis-of-pedagogical-practices"/>
    <w:p>
      <w:pPr>
        <w:pStyle w:val="Heading2"/>
      </w:pPr>
      <w:r>
        <w:t xml:space="preserve">3. Analysis of Pedagogical Practices</w:t>
      </w:r>
    </w:p>
    <w:bookmarkStart w:id="22" w:name="lesson-planning-and-objectives"/>
    <w:p>
      <w:pPr>
        <w:pStyle w:val="Heading3"/>
      </w:pPr>
      <w:r>
        <w:t xml:space="preserve">3.1 Lesson Planning and Objectives</w:t>
      </w:r>
    </w:p>
    <w:p>
      <w:pPr>
        <w:pStyle w:val="FirstParagraph"/>
      </w:pPr>
      <w:r>
        <w:t xml:space="preserve">The</w:t>
      </w:r>
      <w:r>
        <w:t xml:space="preserve"> </w:t>
      </w:r>
      <w:r>
        <w:rPr>
          <w:bCs/>
          <w:b/>
        </w:rPr>
        <w:t xml:space="preserve">Teacher Secondary</w:t>
      </w:r>
      <w:r>
        <w:t xml:space="preserve"> </w:t>
      </w:r>
      <w:r>
        <w:t xml:space="preserve">demonstrated a clear understanding of the national curriculum requirements. The lesson objectives were explicitly stated at the beginning of the session, ensuring that students understood the learning goals. The alignment between the daily lesson plan and the broader syllabus for secondary education in the DRC was evident.</w:t>
      </w:r>
    </w:p>
    <w:p>
      <w:pPr>
        <w:pStyle w:val="BodyText"/>
      </w:pPr>
      <w:r>
        <w:rPr>
          <w:bCs/>
          <w:b/>
        </w:rPr>
        <w:t xml:space="preserve">Strengths:</w:t>
      </w:r>
    </w:p>
    <w:p>
      <w:pPr>
        <w:numPr>
          <w:ilvl w:val="0"/>
          <w:numId w:val="1001"/>
        </w:numPr>
        <w:pStyle w:val="Compact"/>
      </w:pPr>
      <w:r>
        <w:t xml:space="preserve">Clear articulation of learning outcomes.</w:t>
      </w:r>
    </w:p>
    <w:p>
      <w:pPr>
        <w:numPr>
          <w:ilvl w:val="0"/>
          <w:numId w:val="1001"/>
        </w:numPr>
        <w:pStyle w:val="Compact"/>
      </w:pPr>
      <w:r>
        <w:t xml:space="preserve">Logical sequencing of content.</w:t>
      </w:r>
    </w:p>
    <w:p>
      <w:pPr>
        <w:numPr>
          <w:ilvl w:val="0"/>
          <w:numId w:val="1001"/>
        </w:numPr>
        <w:pStyle w:val="Compact"/>
      </w:pPr>
      <w:r>
        <w:t xml:space="preserve">Preparation of necessary teaching materials despite limited resources.</w:t>
      </w:r>
    </w:p>
    <w:bookmarkEnd w:id="22"/>
    <w:bookmarkStart w:id="23" w:name="Xd830e0634f1e91ba5577d3270d781be77925bae"/>
    <w:p>
      <w:pPr>
        <w:pStyle w:val="Heading3"/>
      </w:pPr>
      <w:r>
        <w:t xml:space="preserve">3.2 Instructional Delivery and Content Knowledge</w:t>
      </w:r>
    </w:p>
    <w:p>
      <w:pPr>
        <w:pStyle w:val="FirstParagraph"/>
      </w:pPr>
      <w:r>
        <w:t xml:space="preserve">The teacher displayed strong subject matter expertise. Explanations were thorough, and the teacher effectively utilized the blackboard to illustrate complex concepts. In the context of Kinshasa, where textbook availability can be inconsistent, the teacher's ability to generate content on the board is a critical skill.</w:t>
      </w:r>
    </w:p>
    <w:p>
      <w:pPr>
        <w:pStyle w:val="BodyText"/>
      </w:pPr>
      <w:r>
        <w:t xml:space="preserve">The use of French was appropriate for the academic level. However, the strategic use of Lingala to clarify difficult instructions or concepts was noted as a positive adaptation to the local linguistic reality, ensuring inclusivity for students who may struggle with academic French.</w:t>
      </w:r>
    </w:p>
    <w:p>
      <w:pPr>
        <w:pStyle w:val="BodyText"/>
      </w:pPr>
      <w:r>
        <w:rPr>
          <w:bCs/>
          <w:b/>
        </w:rPr>
        <w:t xml:space="preserve">Areas for Growth:</w:t>
      </w:r>
    </w:p>
    <w:p>
      <w:pPr>
        <w:numPr>
          <w:ilvl w:val="0"/>
          <w:numId w:val="1002"/>
        </w:numPr>
        <w:pStyle w:val="Compact"/>
      </w:pPr>
      <w:r>
        <w:t xml:space="preserve">Incorporating more student-centered activities rather than relying solely on direct instruction.</w:t>
      </w:r>
    </w:p>
    <w:p>
      <w:pPr>
        <w:numPr>
          <w:ilvl w:val="0"/>
          <w:numId w:val="1002"/>
        </w:numPr>
        <w:pStyle w:val="Compact"/>
      </w:pPr>
      <w:r>
        <w:t xml:space="preserve">Encouraging peer-to-peer discussion to maximize engagement in a large class.</w:t>
      </w:r>
    </w:p>
    <w:bookmarkEnd w:id="23"/>
    <w:bookmarkStart w:id="24" w:name="classroom-management-and-environment"/>
    <w:p>
      <w:pPr>
        <w:pStyle w:val="Heading3"/>
      </w:pPr>
      <w:r>
        <w:t xml:space="preserve">3.3 Classroom Management and Environment</w:t>
      </w:r>
    </w:p>
    <w:p>
      <w:pPr>
        <w:pStyle w:val="FirstParagraph"/>
      </w:pPr>
      <w:r>
        <w:t xml:space="preserve">Managing a secondary classroom in Kinshasa requires significant skill due to the high energy levels and large number of students. The teacher maintained a respectful and authoritative presence. Discipline was handled firmly but fairly, minimizing disruptions without halting the flow of the lesson.</w:t>
      </w:r>
    </w:p>
    <w:p>
      <w:pPr>
        <w:pStyle w:val="BodyText"/>
      </w:pPr>
      <w:r>
        <w:t xml:space="preserve">The physical arrangement of the classroom was utilized effectively to maximize visibility. The teacher moved around the room, checking on student progress, which helped maintain focus.</w:t>
      </w:r>
    </w:p>
    <w:bookmarkEnd w:id="24"/>
    <w:bookmarkEnd w:id="25"/>
    <w:bookmarkStart w:id="26" w:name="student-engagement-and-assessment"/>
    <w:p>
      <w:pPr>
        <w:pStyle w:val="Heading2"/>
      </w:pPr>
      <w:r>
        <w:t xml:space="preserve">4. Student Engagement and Assessment</w:t>
      </w:r>
    </w:p>
    <w:p>
      <w:pPr>
        <w:pStyle w:val="FirstParagraph"/>
      </w:pPr>
      <w:r>
        <w:t xml:space="preserve">Student engagement was moderate to high. The teacher utilized questioning techniques to check for understanding. However, the questions were often directed toward the front rows. To improve equity, the teacher should aim to circulate questions more randomly throughout the room.</w:t>
      </w:r>
    </w:p>
    <w:p>
      <w:pPr>
        <w:pStyle w:val="BodyText"/>
      </w:pPr>
      <w:r>
        <w:t xml:space="preserve">Formative assessment was conducted through oral questioning and brief written exercises on the board. This aligns with standard practices in Congolese secondary schools. The teacher provided immediate feedback, which is crucial for student learning.</w:t>
      </w:r>
    </w:p>
    <w:bookmarkEnd w:id="26"/>
    <w:bookmarkStart w:id="27" w:name="X2505c1a0023529382629b60d8e35fc2b9eaee81"/>
    <w:p>
      <w:pPr>
        <w:pStyle w:val="Heading2"/>
      </w:pPr>
      <w:r>
        <w:t xml:space="preserve">5. Recommendations for Professional Development</w:t>
      </w:r>
    </w:p>
    <w:p>
      <w:pPr>
        <w:pStyle w:val="FirstParagraph"/>
      </w:pPr>
      <w:r>
        <w:t xml:space="preserve">Based on this Peer Review Report, the following recommendations are proposed to enhance the teaching practice of the</w:t>
      </w:r>
      <w:r>
        <w:t xml:space="preserve"> </w:t>
      </w:r>
      <w:r>
        <w:rPr>
          <w:bCs/>
          <w:b/>
        </w:rPr>
        <w:t xml:space="preserve">Teacher Secondary</w:t>
      </w:r>
      <w:r>
        <w:t xml:space="preserve">:</w:t>
      </w:r>
    </w:p>
    <w:p>
      <w:pPr>
        <w:numPr>
          <w:ilvl w:val="0"/>
          <w:numId w:val="1003"/>
        </w:numPr>
        <w:pStyle w:val="Compact"/>
      </w:pPr>
      <w:r>
        <w:rPr>
          <w:bCs/>
          <w:b/>
        </w:rPr>
        <w:t xml:space="preserve">Differentiated Instruction:</w:t>
      </w:r>
      <w:r>
        <w:t xml:space="preserve"> </w:t>
      </w:r>
      <w:r>
        <w:t xml:space="preserve">Develop strategies to support students with varying levels of proficiency, particularly in large classes common in Kinshasa.</w:t>
      </w:r>
    </w:p>
    <w:p>
      <w:pPr>
        <w:numPr>
          <w:ilvl w:val="0"/>
          <w:numId w:val="1003"/>
        </w:numPr>
        <w:pStyle w:val="Compact"/>
      </w:pPr>
      <w:r>
        <w:rPr>
          <w:bCs/>
          <w:b/>
        </w:rPr>
        <w:t xml:space="preserve">Active Learning:</w:t>
      </w:r>
      <w:r>
        <w:t xml:space="preserve"> </w:t>
      </w:r>
      <w:r>
        <w:t xml:space="preserve">Integrate more group work and collaborative problem-solving activities to increase student participation.</w:t>
      </w:r>
    </w:p>
    <w:p>
      <w:pPr>
        <w:numPr>
          <w:ilvl w:val="0"/>
          <w:numId w:val="1003"/>
        </w:numPr>
        <w:pStyle w:val="Compact"/>
      </w:pPr>
      <w:r>
        <w:rPr>
          <w:bCs/>
          <w:b/>
        </w:rPr>
        <w:t xml:space="preserve">Resourcefulness:</w:t>
      </w:r>
      <w:r>
        <w:t xml:space="preserve"> </w:t>
      </w:r>
      <w:r>
        <w:t xml:space="preserve">Continue to develop low-cost, high-impact teaching aids that do not rely on expensive technology.</w:t>
      </w:r>
    </w:p>
    <w:p>
      <w:pPr>
        <w:numPr>
          <w:ilvl w:val="0"/>
          <w:numId w:val="1003"/>
        </w:numPr>
        <w:pStyle w:val="Compact"/>
      </w:pPr>
      <w:r>
        <w:rPr>
          <w:bCs/>
          <w:b/>
        </w:rPr>
        <w:t xml:space="preserve">Reflective Practice:</w:t>
      </w:r>
      <w:r>
        <w:t xml:space="preserve"> </w:t>
      </w:r>
      <w:r>
        <w:t xml:space="preserve">Engage in regular self-reflection and peer discussions to refine pedagogical approaches.</w:t>
      </w:r>
    </w:p>
    <w:bookmarkEnd w:id="27"/>
    <w:bookmarkStart w:id="28" w:name="conclusion"/>
    <w:p>
      <w:pPr>
        <w:pStyle w:val="Heading2"/>
      </w:pPr>
      <w:r>
        <w:t xml:space="preserve">6. Conclusion</w:t>
      </w:r>
    </w:p>
    <w:p>
      <w:pPr>
        <w:pStyle w:val="FirstParagraph"/>
      </w:pPr>
      <w:r>
        <w:t xml:space="preserve">This Peer Review Report highlights the dedication and competence of the</w:t>
      </w:r>
      <w:r>
        <w:t xml:space="preserve"> </w:t>
      </w:r>
      <w:r>
        <w:rPr>
          <w:bCs/>
          <w:b/>
        </w:rPr>
        <w:t xml:space="preserve">Teacher Secondary</w:t>
      </w:r>
      <w:r>
        <w:t xml:space="preserve"> </w:t>
      </w:r>
      <w:r>
        <w:t xml:space="preserve">in delivering quality education within the challenging environment of Kinshasa. The teacher demonstrates a strong commitment to their students and the profession. By implementing the suggested recommendations, the teacher can further enhance their instructional effectiveness and contribute to the overall improvement of secondary education in the Democratic Republic of the Congo.</w:t>
      </w:r>
    </w:p>
    <w:p>
      <w:pPr>
        <w:pStyle w:val="BodyText"/>
      </w:pPr>
      <w:r>
        <w:t xml:space="preserve">This document is intended to be a constructive tool for growth, fostering a supportive professional community among educators in Kinshasa.</w:t>
      </w:r>
    </w:p>
    <w:p>
      <w:pPr>
        <w:pStyle w:val="BodyText"/>
      </w:pPr>
      <w:r>
        <w:rPr>
          <w:bCs/>
          <w:b/>
        </w:rPr>
        <w:t xml:space="preserve">Reviewed By (Peer Observer):</w:t>
      </w:r>
    </w:p>
    <w:p>
      <w:pPr>
        <w:pStyle w:val="BodyText"/>
      </w:pPr>
      <w:r>
        <w:t xml:space="preserve">Name: __________________________</w:t>
      </w:r>
    </w:p>
    <w:p>
      <w:pPr>
        <w:pStyle w:val="BodyText"/>
      </w:pPr>
      <w:r>
        <w:t xml:space="preserve">Signature: ______________________</w:t>
      </w:r>
    </w:p>
    <w:p>
      <w:pPr>
        <w:pStyle w:val="BodyText"/>
      </w:pPr>
      <w:r>
        <w:rPr>
          <w:bCs/>
          <w:b/>
        </w:rPr>
        <w:t xml:space="preserve">Teacher Secondary (Observed):</w:t>
      </w:r>
    </w:p>
    <w:p>
      <w:pPr>
        <w:pStyle w:val="BodyText"/>
      </w:pPr>
      <w:r>
        <w:t xml:space="preserve">Name: __________________________</w:t>
      </w:r>
    </w:p>
    <w:p>
      <w:pPr>
        <w:pStyle w:val="BodyText"/>
      </w:pPr>
      <w:r>
        <w:t xml:space="preserve">Signature: ______________________</w:t>
      </w:r>
    </w:p>
    <w:p>
      <w:pPr>
        <w:pStyle w:val="BodyText"/>
      </w:pPr>
      <w:r>
        <w:t xml:space="preserve">Document generated for educational purposes in Kinshasa, DR Congo. © 2023 Secondary Education Peer Review Initiative.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Secondary Education - Kinshasa, DR Congo</dc:title>
  <dc:creator/>
  <dc:language>en</dc:language>
  <cp:keywords/>
  <dcterms:created xsi:type="dcterms:W3CDTF">2026-10-10T03:12:58Z</dcterms:created>
  <dcterms:modified xsi:type="dcterms:W3CDTF">2026-10-10T03:12:58Z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