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Secondary</w:t>
      </w:r>
      <w:r>
        <w:t xml:space="preserve"> </w:t>
      </w:r>
      <w:r>
        <w:t xml:space="preserve">Education</w:t>
      </w:r>
      <w:r>
        <w:t xml:space="preserve"> </w:t>
      </w:r>
      <w:r>
        <w:t xml:space="preserve">-</w:t>
      </w:r>
      <w:r>
        <w:t xml:space="preserve"> </w:t>
      </w:r>
      <w:r>
        <w:t xml:space="preserve">Cairo,</w:t>
      </w:r>
      <w:r>
        <w:t xml:space="preserve"> </w:t>
      </w:r>
      <w:r>
        <w:t xml:space="preserve">Egypt</w:t>
      </w:r>
    </w:p>
    <w:bookmarkStart w:id="30" w:name="peer-review-report"/>
    <w:p>
      <w:pPr>
        <w:pStyle w:val="Heading1"/>
      </w:pPr>
      <w:r>
        <w:t xml:space="preserve">Peer Review Report</w:t>
      </w:r>
    </w:p>
    <w:p>
      <w:pPr>
        <w:pStyle w:val="FirstParagraph"/>
      </w:pPr>
      <w:r>
        <w:t xml:space="preserve">Ministry of Education and Technical Education - Cairo Governorate</w:t>
      </w:r>
    </w:p>
    <w:p>
      <w:pPr>
        <w:pStyle w:val="BodyText"/>
      </w:pPr>
      <w:r>
        <w:t xml:space="preserve">Teacher Name:</w:t>
      </w:r>
      <w:r>
        <w:t xml:space="preserve"> </w:t>
      </w:r>
      <w:r>
        <w:t xml:space="preserve">[Insert Teacher Name]</w:t>
      </w:r>
      <w:r>
        <w:t xml:space="preserve"> </w:t>
      </w:r>
      <w:r>
        <w:t xml:space="preserve">Subject:</w:t>
      </w:r>
      <w:r>
        <w:t xml:space="preserve"> </w:t>
      </w:r>
      <w:r>
        <w:t xml:space="preserve">[Insert Subject]</w:t>
      </w:r>
      <w:r>
        <w:t xml:space="preserve"> </w:t>
      </w:r>
      <w:r>
        <w:t xml:space="preserve">Grade Level:</w:t>
      </w:r>
      <w:r>
        <w:t xml:space="preserve"> </w:t>
      </w:r>
      <w:r>
        <w:t xml:space="preserve">Secondary (1st, 2nd, or 3rd Year)</w:t>
      </w:r>
    </w:p>
    <w:p>
      <w:pPr>
        <w:pStyle w:val="BodyText"/>
      </w:pPr>
      <w:r>
        <w:t xml:space="preserve">School Name:</w:t>
      </w:r>
      <w:r>
        <w:t xml:space="preserve"> </w:t>
      </w:r>
      <w:r>
        <w:t xml:space="preserve">[Insert School Name]</w:t>
      </w:r>
      <w:r>
        <w:t xml:space="preserve"> </w:t>
      </w:r>
      <w:r>
        <w:t xml:space="preserve">District:</w:t>
      </w:r>
      <w:r>
        <w:t xml:space="preserve"> </w:t>
      </w:r>
      <w:r>
        <w:t xml:space="preserve">[Insert District, e.g., Nasr City, Dokki]</w:t>
      </w:r>
      <w:r>
        <w:t xml:space="preserve"> </w:t>
      </w:r>
      <w:r>
        <w:t xml:space="preserve">Date of Observation:</w:t>
      </w:r>
      <w:r>
        <w:t xml:space="preserve"> </w:t>
      </w:r>
      <w:r>
        <w:t xml:space="preserve">[Insert Date]</w:t>
      </w:r>
    </w:p>
    <w:bookmarkStart w:id="20" w:name="introduction-and-context"/>
    <w:p>
      <w:pPr>
        <w:pStyle w:val="Heading2"/>
      </w:pPr>
      <w:r>
        <w:t xml:space="preserve">1. Introduction and Context</w:t>
      </w:r>
    </w:p>
    <w:p>
      <w:pPr>
        <w:pStyle w:val="FirstParagraph"/>
      </w:pPr>
      <w:r>
        <w:t xml:space="preserve">This</w:t>
      </w:r>
      <w:r>
        <w:t xml:space="preserve"> </w:t>
      </w:r>
      <w:r>
        <w:rPr>
          <w:bCs/>
          <w:b/>
        </w:rPr>
        <w:t xml:space="preserve">Peer Review Report</w:t>
      </w:r>
      <w:r>
        <w:t xml:space="preserve"> </w:t>
      </w:r>
      <w:r>
        <w:t xml:space="preserve">serves as a formal evaluation of instructional practices, classroom management, and professional conduct for a</w:t>
      </w:r>
      <w:r>
        <w:t xml:space="preserve"> </w:t>
      </w:r>
      <w:r>
        <w:rPr>
          <w:bCs/>
          <w:b/>
        </w:rPr>
        <w:t xml:space="preserve">Teacher Secondary</w:t>
      </w:r>
      <w:r>
        <w:t xml:space="preserve"> </w:t>
      </w:r>
      <w:r>
        <w:t xml:space="preserve">within the educational framework of</w:t>
      </w:r>
      <w:r>
        <w:t xml:space="preserve"> </w:t>
      </w:r>
      <w:r>
        <w:rPr>
          <w:bCs/>
          <w:b/>
        </w:rPr>
        <w:t xml:space="preserve">Egypt Cairo</w:t>
      </w:r>
      <w:r>
        <w:t xml:space="preserve">. The purpose of this review is to align with the strategic goals of the Ministry of Education to enhance the quality of secondary education, ensuring that students are adequately prepared for the Thanaweya Amma examinations and future academic endeavors.</w:t>
      </w:r>
    </w:p>
    <w:p>
      <w:pPr>
        <w:pStyle w:val="BodyText"/>
      </w:pPr>
      <w:r>
        <w:t xml:space="preserve">The observation took place in a standard secondary school setting in Cairo, focusing on the teacher's ability to deliver the national curriculum effectively while fostering a conducive learning environment. This document provides a comprehensive analysis based on direct observation, review of lesson plans, and interaction with students.</w:t>
      </w:r>
    </w:p>
    <w:bookmarkEnd w:id="20"/>
    <w:bookmarkStart w:id="21" w:name="evaluation-criteria-and-rating-scale"/>
    <w:p>
      <w:pPr>
        <w:pStyle w:val="Heading2"/>
      </w:pPr>
      <w:r>
        <w:t xml:space="preserve">2. Evaluation Criteria and Rating Scale</w:t>
      </w:r>
    </w:p>
    <w:p>
      <w:pPr>
        <w:pStyle w:val="FirstParagraph"/>
      </w:pPr>
      <w:r>
        <w:t xml:space="preserve">Ratings are based on a scale of 1 to 5:</w:t>
      </w:r>
      <w:r>
        <w:t xml:space="preserve"> </w:t>
      </w:r>
      <w:r>
        <w:rPr>
          <w:bCs/>
          <w:b/>
        </w:rPr>
        <w:t xml:space="preserve">1 (Needs Improvement)</w:t>
      </w:r>
      <w:r>
        <w:t xml:space="preserve">,</w:t>
      </w:r>
      <w:r>
        <w:t xml:space="preserve"> </w:t>
      </w:r>
      <w:r>
        <w:rPr>
          <w:bCs/>
          <w:b/>
        </w:rPr>
        <w:t xml:space="preserve">2 (Developing)</w:t>
      </w:r>
      <w:r>
        <w:t xml:space="preserve">,</w:t>
      </w:r>
      <w:r>
        <w:t xml:space="preserve"> </w:t>
      </w:r>
      <w:r>
        <w:rPr>
          <w:bCs/>
          <w:b/>
        </w:rPr>
        <w:t xml:space="preserve">3 (Proficient)</w:t>
      </w:r>
      <w:r>
        <w:t xml:space="preserve">,</w:t>
      </w:r>
      <w:r>
        <w:t xml:space="preserve"> </w:t>
      </w:r>
      <w:r>
        <w:rPr>
          <w:bCs/>
          <w:b/>
        </w:rPr>
        <w:t xml:space="preserve">4 (Distinguished)</w:t>
      </w:r>
      <w:r>
        <w:t xml:space="preserve">,</w:t>
      </w:r>
      <w:r>
        <w:t xml:space="preserve"> </w:t>
      </w:r>
      <w:r>
        <w:rPr>
          <w:bCs/>
          <w:b/>
        </w:rPr>
        <w:t xml:space="preserve">5 (Exemplary)</w:t>
      </w:r>
      <w:r>
        <w:t xml:space="preserve">.</w:t>
      </w:r>
    </w:p>
    <w:bookmarkEnd w:id="21"/>
    <w:bookmarkStart w:id="26" w:name="detailed-assessment"/>
    <w:p>
      <w:pPr>
        <w:pStyle w:val="Heading2"/>
      </w:pPr>
      <w:r>
        <w:t xml:space="preserve">3. Detailed Assessment</w:t>
      </w:r>
    </w:p>
    <w:bookmarkStart w:id="22" w:name="lesson-planning-and-curriculum-alignment"/>
    <w:p>
      <w:pPr>
        <w:pStyle w:val="Heading3"/>
      </w:pPr>
      <w:r>
        <w:t xml:space="preserve">3.1 Lesson Planning and Curriculum Alignment</w:t>
      </w:r>
    </w:p>
    <w:p>
      <w:pPr>
        <w:pStyle w:val="FirstParagraph"/>
      </w:pPr>
      <w:r>
        <w:t xml:space="preserve">The</w:t>
      </w:r>
      <w:r>
        <w:t xml:space="preserve"> </w:t>
      </w:r>
      <w:r>
        <w:rPr>
          <w:bCs/>
          <w:b/>
        </w:rPr>
        <w:t xml:space="preserve">Teacher Secondary</w:t>
      </w:r>
      <w:r>
        <w:t xml:space="preserve"> </w:t>
      </w:r>
      <w:r>
        <w:t xml:space="preserve">demonstrated a strong understanding of the national curriculum mandated by the Ministry of Education. The lesson plan was structured logically, with clear learning objectives that aligned with the specific requirements for the secondary stage in Cairo. The teacher effectively integrated the core concepts required for the upcoming national examinations.</w:t>
      </w:r>
    </w:p>
    <w:p>
      <w:pPr>
        <w:pStyle w:val="BodyText"/>
      </w:pPr>
      <w:r>
        <w:t xml:space="preserve">However, there is room for improvement in differentiating instruction to cater to the diverse learning needs of students within the large class sizes typical of public schools in</w:t>
      </w:r>
      <w:r>
        <w:t xml:space="preserve"> </w:t>
      </w:r>
      <w:r>
        <w:rPr>
          <w:bCs/>
          <w:b/>
        </w:rPr>
        <w:t xml:space="preserve">Egypt Cairo</w:t>
      </w:r>
      <w:r>
        <w:t xml:space="preserve">. While the content was accurate, the pacing occasionally rushed through complex topics, potentially leaving behind students who require more scaffolding.</w:t>
      </w:r>
    </w:p>
    <w:bookmarkEnd w:id="22"/>
    <w:bookmarkStart w:id="23" w:name="instructional-strategies-and-delivery"/>
    <w:p>
      <w:pPr>
        <w:pStyle w:val="Heading3"/>
      </w:pPr>
      <w:r>
        <w:t xml:space="preserve">3.2 Instructional Strategies and Delivery</w:t>
      </w:r>
    </w:p>
    <w:p>
      <w:pPr>
        <w:pStyle w:val="FirstParagraph"/>
      </w:pPr>
      <w:r>
        <w:t xml:space="preserve">Instructional delivery was clear and articulate. The teacher utilized a mix of direct instruction and guided practice. In the context of a</w:t>
      </w:r>
      <w:r>
        <w:t xml:space="preserve"> </w:t>
      </w:r>
      <w:r>
        <w:rPr>
          <w:bCs/>
          <w:b/>
        </w:rPr>
        <w:t xml:space="preserve">Teacher Secondary</w:t>
      </w:r>
      <w:r>
        <w:t xml:space="preserve">, the ability to explain abstract concepts is crucial. The teacher successfully broke down difficult subject matter into manageable segments.</w:t>
      </w:r>
    </w:p>
    <w:p>
      <w:pPr>
        <w:pStyle w:val="BodyText"/>
      </w:pPr>
      <w:r>
        <w:t xml:space="preserve">The use of visual aids and the blackboard was effective. However, to modernize the classroom experience in line with the "New Education System" initiatives in Egypt, the teacher is encouraged to incorporate more digital tools or interactive elements where available. The transition from traditional rote learning to more inquiry-based learning is a key focus for secondary education in Cairo, and this teacher is making positive strides in that direction.</w:t>
      </w:r>
    </w:p>
    <w:bookmarkEnd w:id="23"/>
    <w:bookmarkStart w:id="24" w:name="classroom-management-and-environment"/>
    <w:p>
      <w:pPr>
        <w:pStyle w:val="Heading3"/>
      </w:pPr>
      <w:r>
        <w:t xml:space="preserve">3.3 Classroom Management and Environment</w:t>
      </w:r>
    </w:p>
    <w:p>
      <w:pPr>
        <w:pStyle w:val="FirstParagraph"/>
      </w:pPr>
      <w:r>
        <w:t xml:space="preserve">Classroom management was generally effective. The teacher maintained authority while fostering a respectful atmosphere. Given the cultural context of</w:t>
      </w:r>
      <w:r>
        <w:t xml:space="preserve"> </w:t>
      </w:r>
      <w:r>
        <w:rPr>
          <w:bCs/>
          <w:b/>
        </w:rPr>
        <w:t xml:space="preserve">Egypt Cairo</w:t>
      </w:r>
      <w:r>
        <w:t xml:space="preserve">, the teacher appropriately balanced discipline with approachability. Students appeared engaged and respectful of the teacher's instructions.</w:t>
      </w:r>
    </w:p>
    <w:p>
      <w:pPr>
        <w:pStyle w:val="BodyText"/>
      </w:pPr>
      <w:r>
        <w:t xml:space="preserve">The physical environment of the classroom was organized. The teacher ensured that seating arrangements facilitated visibility of the board and minimized distractions. There were minor instances of off-task behavior among a few students, which were addressed promptly and discreetly, demonstrating good professional judgment.</w:t>
      </w:r>
    </w:p>
    <w:bookmarkEnd w:id="24"/>
    <w:bookmarkStart w:id="25" w:name="assessment-and-feedback"/>
    <w:p>
      <w:pPr>
        <w:pStyle w:val="Heading3"/>
      </w:pPr>
      <w:r>
        <w:t xml:space="preserve">3.4 Assessment and Feedback</w:t>
      </w:r>
    </w:p>
    <w:p>
      <w:pPr>
        <w:pStyle w:val="FirstParagraph"/>
      </w:pPr>
      <w:r>
        <w:t xml:space="preserve">The teacher employed formative assessment techniques during the lesson, such as questioning and quick checks for understanding. This is vital for a</w:t>
      </w:r>
      <w:r>
        <w:t xml:space="preserve"> </w:t>
      </w:r>
      <w:r>
        <w:rPr>
          <w:bCs/>
          <w:b/>
        </w:rPr>
        <w:t xml:space="preserve">Teacher Secondary</w:t>
      </w:r>
      <w:r>
        <w:t xml:space="preserve"> </w:t>
      </w:r>
      <w:r>
        <w:t xml:space="preserve">to ensure students are grasping concepts before moving on. Feedback provided to students was constructive, focusing on correcting errors rather than just grading.</w:t>
      </w:r>
    </w:p>
    <w:p>
      <w:pPr>
        <w:pStyle w:val="BodyText"/>
      </w:pPr>
      <w:r>
        <w:t xml:space="preserve">The teacher emphasized the importance of exam techniques, which is highly relevant for secondary students in Egypt preparing for high-stakes testing. However, providing more specific, individualized feedback to struggling students would further enhance learning outcomes.</w:t>
      </w:r>
    </w:p>
    <w:bookmarkEnd w:id="25"/>
    <w:bookmarkEnd w:id="26"/>
    <w:bookmarkStart w:id="27" w:name="summary-of-ratings"/>
    <w:p>
      <w:pPr>
        <w:pStyle w:val="Heading2"/>
      </w:pPr>
      <w:r>
        <w:t xml:space="preserve">4. Summary of Ratings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Domain</w:t>
            </w:r>
          </w:p>
        </w:tc>
        <w:tc>
          <w:tcPr/>
          <w:p>
            <w:pPr>
              <w:pStyle w:val="Compact"/>
              <w:jc w:val="left"/>
            </w:pPr>
            <w:r>
              <w:t xml:space="preserve">Rating (1-5)</w:t>
            </w:r>
          </w:p>
        </w:tc>
        <w:tc>
          <w:tcPr/>
          <w:p>
            <w:pPr>
              <w:pStyle w:val="Compact"/>
              <w:jc w:val="left"/>
            </w:pPr>
            <w:r>
              <w:t xml:space="preserve">Comments</w:t>
            </w:r>
          </w:p>
        </w:tc>
      </w:tr>
      <w:tr>
        <w:tc>
          <w:tcPr/>
          <w:p>
            <w:pPr>
              <w:pStyle w:val="Compact"/>
              <w:jc w:val="left"/>
            </w:pPr>
            <w:r>
              <w:t xml:space="preserve">Lesson Planning</w:t>
            </w:r>
          </w:p>
        </w:tc>
        <w:tc>
          <w:tcPr/>
          <w:p>
            <w:pPr>
              <w:pStyle w:val="Compact"/>
              <w:jc w:val="left"/>
            </w:pPr>
            <w:r>
              <w:t xml:space="preserve">4</w:t>
            </w:r>
          </w:p>
        </w:tc>
        <w:tc>
          <w:tcPr/>
          <w:p>
            <w:pPr>
              <w:pStyle w:val="Compact"/>
              <w:jc w:val="left"/>
            </w:pPr>
            <w:r>
              <w:t xml:space="preserve">Strong alignment with curriculum; needs more differentiation.</w:t>
            </w:r>
          </w:p>
        </w:tc>
      </w:tr>
      <w:tr>
        <w:tc>
          <w:tcPr/>
          <w:p>
            <w:pPr>
              <w:pStyle w:val="Compact"/>
              <w:jc w:val="left"/>
            </w:pPr>
            <w:r>
              <w:t xml:space="preserve">Instructional Delivery</w:t>
            </w:r>
          </w:p>
        </w:tc>
        <w:tc>
          <w:tcPr/>
          <w:p>
            <w:pPr>
              <w:pStyle w:val="Compact"/>
              <w:jc w:val="left"/>
            </w:pPr>
            <w:r>
              <w:t xml:space="preserve">4</w:t>
            </w:r>
          </w:p>
        </w:tc>
        <w:tc>
          <w:tcPr/>
          <w:p>
            <w:pPr>
              <w:pStyle w:val="Compact"/>
              <w:jc w:val="left"/>
            </w:pPr>
            <w:r>
              <w:t xml:space="preserve">Clear explanations; encourage more interactive methods.</w:t>
            </w:r>
          </w:p>
        </w:tc>
      </w:tr>
      <w:tr>
        <w:tc>
          <w:tcPr/>
          <w:p>
            <w:pPr>
              <w:pStyle w:val="Compact"/>
              <w:jc w:val="left"/>
            </w:pPr>
            <w:r>
              <w:t xml:space="preserve">Classroom Management</w:t>
            </w:r>
          </w:p>
        </w:tc>
        <w:tc>
          <w:tcPr/>
          <w:p>
            <w:pPr>
              <w:pStyle w:val="Compact"/>
              <w:jc w:val="left"/>
            </w:pPr>
            <w:r>
              <w:t xml:space="preserve">4</w:t>
            </w:r>
          </w:p>
        </w:tc>
        <w:tc>
          <w:tcPr/>
          <w:p>
            <w:pPr>
              <w:pStyle w:val="Compact"/>
              <w:jc w:val="left"/>
            </w:pPr>
            <w:r>
              <w:t xml:space="preserve">Effective control and respectful environment.</w:t>
            </w:r>
          </w:p>
        </w:tc>
      </w:tr>
      <w:tr>
        <w:tc>
          <w:tcPr/>
          <w:p>
            <w:pPr>
              <w:pStyle w:val="Compact"/>
              <w:jc w:val="left"/>
            </w:pPr>
            <w:r>
              <w:t xml:space="preserve">Assessment &amp; Feedback</w:t>
            </w:r>
          </w:p>
        </w:tc>
        <w:tc>
          <w:tcPr/>
          <w:p>
            <w:pPr>
              <w:pStyle w:val="Compact"/>
              <w:jc w:val="left"/>
            </w:pPr>
            <w:r>
              <w:t xml:space="preserve">3</w:t>
            </w:r>
          </w:p>
        </w:tc>
        <w:tc>
          <w:tcPr/>
          <w:p>
            <w:pPr>
              <w:pStyle w:val="Compact"/>
              <w:jc w:val="left"/>
            </w:pPr>
            <w:r>
              <w:t xml:space="preserve">Good formative checks; needs more individualized feedback.</w:t>
            </w:r>
          </w:p>
        </w:tc>
      </w:tr>
      <w:tr>
        <w:tc>
          <w:tcPr/>
          <w:p>
            <w:pPr>
              <w:pStyle w:val="Compact"/>
              <w:jc w:val="left"/>
            </w:pPr>
            <w:r>
              <w:t xml:space="preserve">Professionalism</w:t>
            </w:r>
          </w:p>
        </w:tc>
        <w:tc>
          <w:tcPr/>
          <w:p>
            <w:pPr>
              <w:pStyle w:val="Compact"/>
              <w:jc w:val="left"/>
            </w:pPr>
            <w:r>
              <w:t xml:space="preserve">5</w:t>
            </w:r>
          </w:p>
        </w:tc>
        <w:tc>
          <w:tcPr/>
          <w:p>
            <w:pPr>
              <w:pStyle w:val="Compact"/>
              <w:jc w:val="left"/>
            </w:pPr>
            <w:r>
              <w:t xml:space="preserve">Highly professional, punctual, and dedicated.</w:t>
            </w:r>
          </w:p>
        </w:tc>
      </w:tr>
    </w:tbl>
    <w:bookmarkEnd w:id="27"/>
    <w:bookmarkStart w:id="28" w:name="recommendations-for-professional-growth"/>
    <w:p>
      <w:pPr>
        <w:pStyle w:val="Heading2"/>
      </w:pPr>
      <w:r>
        <w:t xml:space="preserve">5. Recommendations for Professional Growth</w:t>
      </w:r>
    </w:p>
    <w:p>
      <w:pPr>
        <w:pStyle w:val="FirstParagraph"/>
      </w:pPr>
      <w:r>
        <w:t xml:space="preserve">Based on this</w:t>
      </w:r>
      <w:r>
        <w:t xml:space="preserve"> </w:t>
      </w:r>
      <w:r>
        <w:rPr>
          <w:bCs/>
          <w:b/>
        </w:rPr>
        <w:t xml:space="preserve">Peer Review Report</w:t>
      </w:r>
      <w:r>
        <w:t xml:space="preserve">, the following recommendations are made for the</w:t>
      </w:r>
      <w:r>
        <w:t xml:space="preserve"> </w:t>
      </w:r>
      <w:r>
        <w:rPr>
          <w:bCs/>
          <w:b/>
        </w:rPr>
        <w:t xml:space="preserve">Teacher Secondary</w:t>
      </w:r>
      <w:r>
        <w:t xml:space="preserve"> </w:t>
      </w:r>
      <w:r>
        <w:t xml:space="preserve">to further enhance their practice within the</w:t>
      </w:r>
      <w:r>
        <w:t xml:space="preserve"> </w:t>
      </w:r>
      <w:r>
        <w:rPr>
          <w:bCs/>
          <w:b/>
        </w:rPr>
        <w:t xml:space="preserve">Egypt Cairo</w:t>
      </w:r>
      <w:r>
        <w:t xml:space="preserve"> </w:t>
      </w:r>
      <w:r>
        <w:t xml:space="preserve">educational landscape:</w:t>
      </w:r>
    </w:p>
    <w:p>
      <w:pPr>
        <w:numPr>
          <w:ilvl w:val="0"/>
          <w:numId w:val="1001"/>
        </w:numPr>
        <w:pStyle w:val="Compact"/>
      </w:pPr>
      <w:r>
        <w:rPr>
          <w:bCs/>
          <w:b/>
        </w:rPr>
        <w:t xml:space="preserve">Differentiated Instruction:</w:t>
      </w:r>
      <w:r>
        <w:t xml:space="preserve"> </w:t>
      </w:r>
      <w:r>
        <w:t xml:space="preserve">Develop strategies to support diverse learners within the classroom, ensuring that both advanced and struggling students are challenged and supported appropriately.</w:t>
      </w:r>
    </w:p>
    <w:p>
      <w:pPr>
        <w:numPr>
          <w:ilvl w:val="0"/>
          <w:numId w:val="1001"/>
        </w:numPr>
        <w:pStyle w:val="Compact"/>
      </w:pPr>
      <w:r>
        <w:rPr>
          <w:bCs/>
          <w:b/>
        </w:rPr>
        <w:t xml:space="preserve">Technology Integration:</w:t>
      </w:r>
      <w:r>
        <w:t xml:space="preserve"> </w:t>
      </w:r>
      <w:r>
        <w:t xml:space="preserve">Explore opportunities to integrate educational technology to make lessons more engaging and aligned with modern pedagogical trends in Egypt.</w:t>
      </w:r>
    </w:p>
    <w:p>
      <w:pPr>
        <w:numPr>
          <w:ilvl w:val="0"/>
          <w:numId w:val="1001"/>
        </w:numPr>
        <w:pStyle w:val="Compact"/>
      </w:pPr>
      <w:r>
        <w:rPr>
          <w:bCs/>
          <w:b/>
        </w:rPr>
        <w:t xml:space="preserve">Student-Centered Learning:</w:t>
      </w:r>
      <w:r>
        <w:t xml:space="preserve"> </w:t>
      </w:r>
      <w:r>
        <w:t xml:space="preserve">Increase opportunities for student collaboration and inquiry-based learning to move beyond traditional lecture formats.</w:t>
      </w:r>
    </w:p>
    <w:p>
      <w:pPr>
        <w:numPr>
          <w:ilvl w:val="0"/>
          <w:numId w:val="1001"/>
        </w:numPr>
        <w:pStyle w:val="Compact"/>
      </w:pPr>
      <w:r>
        <w:rPr>
          <w:bCs/>
          <w:b/>
        </w:rPr>
        <w:t xml:space="preserve">Targeted Feedback:</w:t>
      </w:r>
      <w:r>
        <w:t xml:space="preserve"> </w:t>
      </w:r>
      <w:r>
        <w:t xml:space="preserve">Implement a system for providing more specific, written feedback to individual students to help them improve their performance over time.</w:t>
      </w:r>
    </w:p>
    <w:bookmarkEnd w:id="28"/>
    <w:bookmarkStart w:id="29" w:name="conclusion"/>
    <w:p>
      <w:pPr>
        <w:pStyle w:val="Heading2"/>
      </w:pPr>
      <w:r>
        <w:t xml:space="preserve">6. Conclusion</w:t>
      </w:r>
    </w:p>
    <w:p>
      <w:pPr>
        <w:pStyle w:val="FirstParagraph"/>
      </w:pPr>
      <w:r>
        <w:t xml:space="preserve">This</w:t>
      </w:r>
      <w:r>
        <w:t xml:space="preserve"> </w:t>
      </w:r>
      <w:r>
        <w:rPr>
          <w:bCs/>
          <w:b/>
        </w:rPr>
        <w:t xml:space="preserve">Teacher Secondary</w:t>
      </w:r>
      <w:r>
        <w:t xml:space="preserve"> </w:t>
      </w:r>
      <w:r>
        <w:t xml:space="preserve">demonstrates a high level of professionalism and dedication to their students. Their strong grasp of the curriculum and effective classroom management contribute positively to the educational environment in</w:t>
      </w:r>
      <w:r>
        <w:t xml:space="preserve"> </w:t>
      </w:r>
      <w:r>
        <w:rPr>
          <w:bCs/>
          <w:b/>
        </w:rPr>
        <w:t xml:space="preserve">Egypt Cairo</w:t>
      </w:r>
      <w:r>
        <w:t xml:space="preserve">. By implementing the recommendations outlined in this</w:t>
      </w:r>
      <w:r>
        <w:t xml:space="preserve"> </w:t>
      </w:r>
      <w:r>
        <w:rPr>
          <w:bCs/>
          <w:b/>
        </w:rPr>
        <w:t xml:space="preserve">Peer Review Report</w:t>
      </w:r>
      <w:r>
        <w:t xml:space="preserve">, the teacher has the potential to elevate their instructional practice to an exemplary level, thereby significantly impacting student achievement and success in secondary education.</w:t>
      </w:r>
    </w:p>
    <w:p>
      <w:pPr>
        <w:pStyle w:val="BodyText"/>
      </w:pPr>
      <w:r>
        <w:rPr>
          <w:bCs/>
          <w:b/>
        </w:rPr>
        <w:t xml:space="preserve">Peer Reviewer Name:</w:t>
      </w:r>
    </w:p>
    <w:p>
      <w:pPr>
        <w:pStyle w:val="BodyText"/>
      </w:pPr>
      <w:r>
        <w:t xml:space="preserve">__________________________</w:t>
      </w:r>
    </w:p>
    <w:p>
      <w:pPr>
        <w:pStyle w:val="BodyText"/>
      </w:pPr>
      <w:r>
        <w:rPr>
          <w:bCs/>
          <w:b/>
        </w:rPr>
        <w:t xml:space="preserve">Signature:</w:t>
      </w:r>
    </w:p>
    <w:p>
      <w:pPr>
        <w:pStyle w:val="BodyText"/>
      </w:pPr>
      <w:r>
        <w:t xml:space="preserve">__________________________</w:t>
      </w:r>
    </w:p>
    <w:p>
      <w:pPr>
        <w:pStyle w:val="BodyText"/>
      </w:pPr>
      <w:r>
        <w:rPr>
          <w:bCs/>
          <w:b/>
        </w:rPr>
        <w:t xml:space="preserve">Teacher Name:</w:t>
      </w:r>
    </w:p>
    <w:p>
      <w:pPr>
        <w:pStyle w:val="BodyText"/>
      </w:pPr>
      <w:r>
        <w:t xml:space="preserve">__________________________</w:t>
      </w:r>
    </w:p>
    <w:p>
      <w:pPr>
        <w:pStyle w:val="BodyText"/>
      </w:pPr>
      <w:r>
        <w:rPr>
          <w:bCs/>
          <w:b/>
        </w:rPr>
        <w:t xml:space="preserve">Signature:</w:t>
      </w:r>
    </w:p>
    <w:p>
      <w:pPr>
        <w:pStyle w:val="BodyText"/>
      </w:pPr>
      <w:r>
        <w:t xml:space="preserve">__________________________</w:t>
      </w:r>
    </w:p>
    <w:p>
      <w:pPr>
        <w:pStyle w:val="BodyText"/>
      </w:pPr>
      <w:r>
        <w:t xml:space="preserve">Confidential Document - For Internal Use Only | Ministry of Education and Technical Education | Cairo, Egypt</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Secondary Education - Cairo, Egypt</dc:title>
  <dc:creator/>
  <dc:language>en</dc:language>
  <cp:keywords/>
  <dcterms:created xsi:type="dcterms:W3CDTF">2026-10-10T02:06:10Z</dcterms:created>
  <dcterms:modified xsi:type="dcterms:W3CDTF">2026-10-10T02:06:10Z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