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Secondary</w:t>
      </w:r>
      <w:r>
        <w:t xml:space="preserve"> </w:t>
      </w:r>
      <w:r>
        <w:t xml:space="preserve">Education</w:t>
      </w:r>
      <w:r>
        <w:t xml:space="preserve"> </w:t>
      </w:r>
      <w:r>
        <w:t xml:space="preserve">-</w:t>
      </w:r>
      <w:r>
        <w:t xml:space="preserve"> </w:t>
      </w:r>
      <w:r>
        <w:t xml:space="preserve">Berlin,</w:t>
      </w:r>
      <w:r>
        <w:t xml:space="preserve"> </w:t>
      </w:r>
      <w:r>
        <w:t xml:space="preserve">Germany</w:t>
      </w:r>
    </w:p>
    <w:bookmarkStart w:id="20" w:name="peer-review-report-teacher-secondary"/>
    <w:p>
      <w:pPr>
        <w:pStyle w:val="Heading1"/>
      </w:pPr>
      <w:r>
        <w:t xml:space="preserve">Peer Review Report: Teacher Secondary</w:t>
      </w:r>
    </w:p>
    <w:p>
      <w:pPr>
        <w:pStyle w:val="FirstParagraph"/>
      </w:pPr>
      <w:r>
        <w:t xml:space="preserve">State of Berlin | Senate Department for Education, Youth and Family</w:t>
      </w:r>
    </w:p>
    <w:p>
      <w:pPr>
        <w:pStyle w:val="BodyText"/>
      </w:pPr>
      <w:r>
        <w:rPr>
          <w:bCs/>
          <w:b/>
        </w:rPr>
        <w:t xml:space="preserve">Date of Review:</w:t>
      </w:r>
      <w:r>
        <w:t xml:space="preserve"> </w:t>
      </w:r>
      <w:r>
        <w:t xml:space="preserve">October 24, 2023</w:t>
      </w:r>
    </w:p>
    <w:p>
      <w:pPr>
        <w:pStyle w:val="BodyText"/>
      </w:pPr>
      <w:r>
        <w:rPr>
          <w:bCs/>
          <w:b/>
        </w:rPr>
        <w:t xml:space="preserve">Review Cycle:</w:t>
      </w:r>
      <w:r>
        <w:t xml:space="preserve"> </w:t>
      </w:r>
      <w:r>
        <w:t xml:space="preserve">Annual Professional Development</w:t>
      </w:r>
    </w:p>
    <w:p>
      <w:pPr>
        <w:pStyle w:val="BodyText"/>
      </w:pPr>
      <w:r>
        <w:rPr>
          <w:bCs/>
          <w:b/>
        </w:rPr>
        <w:t xml:space="preserve">Teacher Name:</w:t>
      </w:r>
      <w:r>
        <w:t xml:space="preserve"> </w:t>
      </w:r>
      <w:r>
        <w:t xml:space="preserve">[Teacher Name Redacted]</w:t>
      </w:r>
    </w:p>
    <w:p>
      <w:pPr>
        <w:pStyle w:val="BodyText"/>
      </w:pPr>
      <w:r>
        <w:rPr>
          <w:bCs/>
          <w:b/>
        </w:rPr>
        <w:t xml:space="preserve">School Type:</w:t>
      </w:r>
      <w:r>
        <w:t xml:space="preserve"> </w:t>
      </w:r>
      <w:r>
        <w:t xml:space="preserve">Gymnasium / Gesamtschule</w:t>
      </w:r>
    </w:p>
    <w:p>
      <w:pPr>
        <w:pStyle w:val="BodyText"/>
      </w:pPr>
      <w:r>
        <w:rPr>
          <w:bCs/>
          <w:b/>
        </w:rPr>
        <w:t xml:space="preserve">Subject Area:</w:t>
      </w:r>
      <w:r>
        <w:t xml:space="preserve"> </w:t>
      </w:r>
      <w:r>
        <w:t xml:space="preserve">Secondary Education (Mathematics/Science)</w:t>
      </w:r>
    </w:p>
    <w:p>
      <w:pPr>
        <w:pStyle w:val="BodyText"/>
      </w:pPr>
      <w:r>
        <w:rPr>
          <w:bCs/>
          <w:b/>
        </w:rPr>
        <w:t xml:space="preserve">Reviewer:</w:t>
      </w:r>
      <w:r>
        <w:t xml:space="preserve"> </w:t>
      </w:r>
      <w:r>
        <w:t xml:space="preserve">[Peer Reviewer Name], Senior Educator</w:t>
      </w:r>
    </w:p>
    <w:p>
      <w:pPr>
        <w:pStyle w:val="BodyText"/>
      </w:pPr>
      <w:r>
        <w:rPr>
          <w:bCs/>
          <w:b/>
        </w:rPr>
        <w:t xml:space="preserve">Location:</w:t>
      </w:r>
      <w:r>
        <w:t xml:space="preserve"> </w:t>
      </w:r>
      <w:r>
        <w:t xml:space="preserve">Berlin, Germany</w:t>
      </w:r>
    </w:p>
    <w:p>
      <w:pPr>
        <w:pStyle w:val="BodyText"/>
      </w:pPr>
      <w:r>
        <w:rPr>
          <w:bCs/>
          <w:b/>
        </w:rPr>
        <w:t xml:space="preserve">Observation Duration:</w:t>
      </w:r>
      <w:r>
        <w:t xml:space="preserve"> </w:t>
      </w:r>
      <w:r>
        <w:t xml:space="preserve">90 Minutes</w:t>
      </w:r>
    </w:p>
    <w:bookmarkEnd w:id="20"/>
    <w:bookmarkStart w:id="21" w:name="executive-summary"/>
    <w:p>
      <w:pPr>
        <w:pStyle w:val="Heading2"/>
      </w:pPr>
      <w:r>
        <w:t xml:space="preserve">1. Executive Summary</w:t>
      </w:r>
    </w:p>
    <w:p>
      <w:pPr>
        <w:pStyle w:val="FirstParagraph"/>
      </w:pPr>
      <w:r>
        <w:t xml:space="preserve">This Peer Review Report evaluates the professional practice of a Teacher Secondary within the educational framework of Berlin, Germany. The review aligns with the pedagogical standards set by the Berlin Senate Department for Education, Youth and Family (SenBJF) and focuses on instructional quality, classroom management, and adherence to the inclusive education principles mandated by the Berlin School Law (SchulG Bln).</w:t>
      </w:r>
    </w:p>
    <w:p>
      <w:pPr>
        <w:pStyle w:val="BodyText"/>
      </w:pPr>
      <w:r>
        <w:t xml:space="preserve">The observation took place in a heterogeneous secondary classroom, reflecting the diverse demographic reality of Berlin schools. The primary objective was to assess the teacher's ability to facilitate subject-specific learning while fostering social competence and critical thinking among adolescents. Overall, the teacher demonstrated a high level of professional competence, effectively navigating the complexities of the German secondary curriculum while maintaining a supportive and structured learning environment.</w:t>
      </w:r>
    </w:p>
    <w:bookmarkEnd w:id="21"/>
    <w:bookmarkStart w:id="22" w:name="X2f54dc4e46d757d5b487a7b6e140caa57153e5c"/>
    <w:p>
      <w:pPr>
        <w:pStyle w:val="Heading2"/>
      </w:pPr>
      <w:r>
        <w:t xml:space="preserve">2. Instructional Planning and Curriculum Alignment</w:t>
      </w:r>
    </w:p>
    <w:p>
      <w:pPr>
        <w:pStyle w:val="FirstParagraph"/>
      </w:pPr>
      <w:r>
        <w:t xml:space="preserve">The lesson observed was meticulously planned and clearly aligned with the Berlin curriculum (Lehrplan) for the respective grade level. The teacher demonstrated a thorough understanding of the learning objectives (Lernziele) and successfully integrated them into the lesson structure. The progression from activation of prior knowledge to new content acquisition and finally to application was logical and age-appropriate for secondary students.</w:t>
      </w:r>
    </w:p>
    <w:p>
      <w:pPr>
        <w:pStyle w:val="BodyText"/>
      </w:pPr>
      <w:r>
        <w:t xml:space="preserve">Notably, the teacher incorporated interdisciplinary elements, linking the subject matter to real-world contexts relevant to students in Berlin. This approach not only enhanced engagement but also supported the development of key competencies (Schlüsselkompetenzen) emphasized in the German educational system. The use of differentiated materials ensured that students with varying proficiency levels, including those with migration backgrounds, could access the content effectively.</w:t>
      </w:r>
    </w:p>
    <w:bookmarkEnd w:id="22"/>
    <w:bookmarkStart w:id="23" w:name="X13f42425fe5e3e244d3644255ee2032248f90cc"/>
    <w:p>
      <w:pPr>
        <w:pStyle w:val="Heading2"/>
      </w:pPr>
      <w:r>
        <w:t xml:space="preserve">3. Classroom Management and Learning Environment</w:t>
      </w:r>
    </w:p>
    <w:p>
      <w:pPr>
        <w:pStyle w:val="FirstParagraph"/>
      </w:pPr>
      <w:r>
        <w:t xml:space="preserve">Classroom management was a standout strength during this review. The teacher established clear expectations and routines, which contributed to a productive and respectful atmosphere. In the context of Berlin's diverse school population, the teacher demonstrated cultural sensitivity and inclusivity, ensuring that all students felt valued and heard.</w:t>
      </w:r>
    </w:p>
    <w:p>
      <w:pPr>
        <w:pStyle w:val="BodyText"/>
      </w:pPr>
      <w:r>
        <w:t xml:space="preserve">The physical arrangement of the classroom facilitated both individual work and collaborative group activities. The teacher moved fluidly between roles as an instructor and a facilitator, providing timely feedback and guidance. Conflict resolution strategies were proactive, and minor disruptions were addressed calmly and constructively, minimizing interruptions to the learning process. This aligns well with the Berlin model of "Erziehung zur Mündigkeit" (education for autonomy).</w:t>
      </w:r>
    </w:p>
    <w:bookmarkEnd w:id="23"/>
    <w:bookmarkStart w:id="24" w:name="X87f78074d15de4c3876a949640ddc556bc454a1"/>
    <w:p>
      <w:pPr>
        <w:pStyle w:val="Heading2"/>
      </w:pPr>
      <w:r>
        <w:t xml:space="preserve">4. Pedagogical Methods and Student Engagement</w:t>
      </w:r>
    </w:p>
    <w:p>
      <w:pPr>
        <w:pStyle w:val="FirstParagraph"/>
      </w:pPr>
      <w:r>
        <w:t xml:space="preserve">The teacher employed a variety of pedagogical methods suitable for secondary education, including direct instruction, guided discovery, and cooperative learning. The use of digital tools was integrated seamlessly, reflecting the digitalization goals of the Berlin education system. Students were actively engaged throughout the lesson, participating in discussions, group work, and problem-solving tasks.</w:t>
      </w:r>
    </w:p>
    <w:p>
      <w:pPr>
        <w:pStyle w:val="BodyText"/>
      </w:pPr>
      <w:r>
        <w:t xml:space="preserve">Questioning techniques were effective in promoting higher-order thinking. The teacher encouraged students to justify their answers, analyze information, and make connections, thereby fostering critical thinking skills. The pacing of the lesson was appropriate, allowing sufficient time for students to process information and complete tasks. The teacher also demonstrated flexibility, adjusting the lesson flow in response to student needs and understanding.</w:t>
      </w:r>
    </w:p>
    <w:bookmarkEnd w:id="24"/>
    <w:bookmarkStart w:id="25" w:name="assessment-and-feedback"/>
    <w:p>
      <w:pPr>
        <w:pStyle w:val="Heading2"/>
      </w:pPr>
      <w:r>
        <w:t xml:space="preserve">5. Assessment and Feedback</w:t>
      </w:r>
    </w:p>
    <w:p>
      <w:pPr>
        <w:pStyle w:val="FirstParagraph"/>
      </w:pPr>
      <w:r>
        <w:t xml:space="preserve">Formative assessment was embedded throughout the lesson. The teacher used questioning, observation, and quick checks for understanding to monitor student progress and provide immediate feedback. This approach is consistent with best practices in secondary education and supports the continuous improvement of student learning.</w:t>
      </w:r>
    </w:p>
    <w:p>
      <w:pPr>
        <w:pStyle w:val="BodyText"/>
      </w:pPr>
      <w:r>
        <w:t xml:space="preserve">Feedback was specific, constructive, and focused on both content and process. The teacher encouraged self-assessment and peer assessment, empowering students to take ownership of their learning. The criteria for success were clearly communicated, helping students understand expectations and identify areas for improvement.</w:t>
      </w:r>
    </w:p>
    <w:bookmarkEnd w:id="25"/>
    <w:bookmarkStart w:id="26" w:name="areas-for-professional-development"/>
    <w:p>
      <w:pPr>
        <w:pStyle w:val="Heading2"/>
      </w:pPr>
      <w:r>
        <w:t xml:space="preserve">6. Areas for Professional Development</w:t>
      </w:r>
    </w:p>
    <w:p>
      <w:pPr>
        <w:pStyle w:val="FirstParagraph"/>
      </w:pPr>
      <w:r>
        <w:t xml:space="preserve">While the overall performance was exemplary, there are opportunities for further growth:</w:t>
      </w:r>
    </w:p>
    <w:p>
      <w:pPr>
        <w:numPr>
          <w:ilvl w:val="0"/>
          <w:numId w:val="1001"/>
        </w:numPr>
        <w:pStyle w:val="Compact"/>
      </w:pPr>
      <w:r>
        <w:rPr>
          <w:bCs/>
          <w:b/>
        </w:rPr>
        <w:t xml:space="preserve">Deepening Differentiation:</w:t>
      </w:r>
      <w:r>
        <w:t xml:space="preserve"> </w:t>
      </w:r>
      <w:r>
        <w:t xml:space="preserve">Although differentiation was present, further strategies could be explored to support high-achieving students in extending their learning beyond the core curriculum.</w:t>
      </w:r>
    </w:p>
    <w:p>
      <w:pPr>
        <w:numPr>
          <w:ilvl w:val="0"/>
          <w:numId w:val="1001"/>
        </w:numPr>
        <w:pStyle w:val="Compact"/>
      </w:pPr>
      <w:r>
        <w:rPr>
          <w:bCs/>
          <w:b/>
        </w:rPr>
        <w:t xml:space="preserve">Student-Led Inquiry:</w:t>
      </w:r>
      <w:r>
        <w:t xml:space="preserve"> </w:t>
      </w:r>
      <w:r>
        <w:t xml:space="preserve">Increasing opportunities for student-led inquiry and project-based learning could further enhance autonomy and engagement, aligning with progressive trends in Berlin secondary education.</w:t>
      </w:r>
    </w:p>
    <w:p>
      <w:pPr>
        <w:numPr>
          <w:ilvl w:val="0"/>
          <w:numId w:val="1001"/>
        </w:numPr>
        <w:pStyle w:val="Compact"/>
      </w:pPr>
      <w:r>
        <w:rPr>
          <w:bCs/>
          <w:b/>
        </w:rPr>
        <w:t xml:space="preserve">Reflective Practice:</w:t>
      </w:r>
      <w:r>
        <w:t xml:space="preserve"> </w:t>
      </w:r>
      <w:r>
        <w:t xml:space="preserve">Encouraging more structured student reflection at the end of lessons could help consolidate learning and develop metacognitive skills.</w:t>
      </w:r>
    </w:p>
    <w:bookmarkEnd w:id="26"/>
    <w:bookmarkStart w:id="27" w:name="conclusion-and-recommendations"/>
    <w:p>
      <w:pPr>
        <w:pStyle w:val="Heading2"/>
      </w:pPr>
      <w:r>
        <w:t xml:space="preserve">7. Conclusion and Recommendations</w:t>
      </w:r>
    </w:p>
    <w:p>
      <w:pPr>
        <w:pStyle w:val="FirstParagraph"/>
      </w:pPr>
      <w:r>
        <w:t xml:space="preserve">This Peer Review Report confirms that the Teacher Secondary under review meets and, in several areas, exceeds the professional standards expected in Berlin, Germany. The teacher demonstrates strong subject knowledge, effective pedagogical skills, and a commitment to inclusive and equitable education. The classroom environment is conducive to learning, and students are actively engaged and supported.</w:t>
      </w:r>
    </w:p>
    <w:p>
      <w:pPr>
        <w:pStyle w:val="BodyText"/>
      </w:pPr>
      <w:r>
        <w:t xml:space="preserve">It is recommended that the teacher continues to participate in professional development opportunities, particularly in the areas of advanced differentiation and innovative teaching methodologies. Collaboration with colleagues and engagement in school-wide improvement initiatives are also encouraged to further enhance practice.</w:t>
      </w:r>
    </w:p>
    <w:p>
      <w:pPr>
        <w:pStyle w:val="BodyText"/>
      </w:pPr>
      <w:r>
        <w:rPr>
          <w:bCs/>
          <w:b/>
        </w:rPr>
        <w:t xml:space="preserve">Overall Rating:</w:t>
      </w:r>
      <w:r>
        <w:t xml:space="preserve"> </w:t>
      </w:r>
      <w:r>
        <w:t xml:space="preserve">Excellent</w:t>
      </w:r>
      <w:r>
        <w:br/>
      </w:r>
      <w:r>
        <w:rPr>
          <w:bCs/>
          <w:b/>
        </w:rPr>
        <w:t xml:space="preserve">Status:</w:t>
      </w:r>
      <w:r>
        <w:t xml:space="preserve"> </w:t>
      </w:r>
      <w:r>
        <w:t xml:space="preserve">Meets and Exceeds Expectations</w:t>
      </w:r>
      <w:r>
        <w:br/>
      </w:r>
      <w:r>
        <w:rPr>
          <w:bCs/>
          <w:b/>
        </w:rPr>
        <w:t xml:space="preserve">Next Review Date:</w:t>
      </w:r>
      <w:r>
        <w:t xml:space="preserve"> </w:t>
      </w:r>
      <w:r>
        <w:t xml:space="preserve">October 2024</w:t>
      </w:r>
    </w:p>
    <w:bookmarkEnd w:id="27"/>
    <w:p>
      <w:pPr>
        <w:pStyle w:val="BodyText"/>
      </w:pPr>
      <w:r>
        <w:rPr>
          <w:bCs/>
          <w:b/>
        </w:rPr>
        <w:t xml:space="preserve">Peer Reviewer Signature:</w:t>
      </w:r>
      <w:r>
        <w:br/>
      </w:r>
      <w:r>
        <w:t xml:space="preserve">[Signature]</w:t>
      </w:r>
      <w:r>
        <w:br/>
      </w:r>
      <w:r>
        <w:t xml:space="preserve">[Printed Name]</w:t>
      </w:r>
    </w:p>
    <w:p>
      <w:pPr>
        <w:pStyle w:val="BodyText"/>
      </w:pPr>
      <w:r>
        <w:rPr>
          <w:bCs/>
          <w:b/>
        </w:rPr>
        <w:t xml:space="preserve">Teacher Acknowledgment:</w:t>
      </w:r>
      <w:r>
        <w:br/>
      </w:r>
      <w:r>
        <w:t xml:space="preserve">[Signature]</w:t>
      </w:r>
      <w:r>
        <w:br/>
      </w:r>
      <w:r>
        <w:t xml:space="preserve">[Printed Name]</w:t>
      </w:r>
    </w:p>
    <w:p>
      <w:pPr>
        <w:pStyle w:val="BodyText"/>
      </w:pPr>
      <w:r>
        <w:t xml:space="preserve">This document is confidential and intended for professional development purposes only. It is governed by the regulations of the State of Berlin, Germany.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Secondary Education - Berlin, Germany</dc:title>
  <dc:creator/>
  <dc:language>en</dc:language>
  <cp:keywords/>
  <dcterms:created xsi:type="dcterms:W3CDTF">2026-10-10T04:20:36Z</dcterms:created>
  <dcterms:modified xsi:type="dcterms:W3CDTF">2026-10-10T04:20:36Z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